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De Cargo Winkel</w:t>
      </w:r>
    </w:p>
    <w:p>
      <w:pPr>
        <w:spacing w:after="120"/>
      </w:pPr>
      <w:r>
        <w:rPr>
          <w:color w:val="595959"/>
          <w:sz w:val="26"/>
          <w:szCs w:val="26"/>
        </w:rPr>
        <w:t xml:space="preserve">Webshop &amp; maandpakket — voorstel</w:t>
      </w:r>
    </w:p>
    <w:p>
      <w:pPr>
        <w:pBdr>
          <w:bottom w:val="single" w:color="1F3864" w:sz="6" w:space="1"/>
        </w:pBdr>
        <w:spacing w:after="200"/>
      </w:pPr>
    </w:p>
    <w:p>
      <w:pPr>
        <w:spacing w:after="160"/>
      </w:pPr>
      <w:r>
        <w:t xml:space="preserve">Hoi Theo,</w:t>
      </w:r>
    </w:p>
    <w:p>
      <w:pPr>
        <w:spacing w:after="120"/>
      </w:pPr>
      <w:r>
        <w:t xml:space="preserve">Hieronder vind je de opzet voor je webshop, met een heldere prijsindicatie. Dit is een voorstel om samen op verder te bouwen — zodra we de details scherp hebben, maak ik er een definitieve offerte van.</w:t>
      </w:r>
    </w:p>
    <w:p>
      <w:pPr>
        <w:pStyle w:val="Heading1"/>
      </w:pPr>
      <w:r>
        <w:t xml:space="preserve">De webshop</w:t>
      </w:r>
    </w:p>
    <w:p>
      <w:pPr>
        <w:spacing w:after="120"/>
      </w:pPr>
      <w:r>
        <w:t xml:space="preserve">Een complete webshop, gebouwd om te verkopen — niet zomaar een website:</w:t>
      </w:r>
    </w:p>
    <w:p>
      <w:pPr>
        <w:pStyle w:val="ListParagraph"/>
        <w:numPr>
          <w:ilvl w:val="0"/>
          <w:numId w:val="2"/>
        </w:numPr>
        <w:spacing w:after="80"/>
      </w:pPr>
      <w:r>
        <w:t xml:space="preserve">Overzichtelijke productpagina's, winkelwagen en een soepele checkout die op conversie is gericht.</w:t>
      </w:r>
    </w:p>
    <w:p>
      <w:pPr>
        <w:pStyle w:val="ListParagraph"/>
        <w:numPr>
          <w:ilvl w:val="0"/>
          <w:numId w:val="2"/>
        </w:numPr>
        <w:spacing w:after="80"/>
      </w:pPr>
      <w:r>
        <w:t xml:space="preserve">Veilige betalingen via Mollie of Stripe (iDEAL, creditcard en meer).</w:t>
      </w:r>
    </w:p>
    <w:p>
      <w:pPr>
        <w:pStyle w:val="ListParagraph"/>
        <w:numPr>
          <w:ilvl w:val="0"/>
          <w:numId w:val="2"/>
        </w:numPr>
        <w:spacing w:after="80"/>
      </w:pPr>
      <w:r>
        <w:t xml:space="preserve">Je eigen beheeromgeving: voeg zelf producten toe, pas prijzen aan en volg je bestellingen — zonder dat je mij nodig hebt.</w:t>
      </w:r>
    </w:p>
    <w:p>
      <w:pPr>
        <w:pStyle w:val="ListParagraph"/>
        <w:numPr>
          <w:ilvl w:val="0"/>
          <w:numId w:val="2"/>
        </w:numPr>
        <w:spacing w:after="80"/>
      </w:pPr>
      <w:r>
        <w:t xml:space="preserve">Beveiliging en AVG goed geregeld, want er gaan betalingen en klantgegevens doorheen.</w:t>
      </w:r>
    </w:p>
    <w:p>
      <w:pPr>
        <w:pStyle w:val="ListParagraph"/>
        <w:numPr>
          <w:ilvl w:val="0"/>
          <w:numId w:val="2"/>
        </w:numPr>
        <w:spacing w:after="80"/>
      </w:pPr>
      <w:r>
        <w:t xml:space="preserve">Optioneel: een afgeschermd gedeelte voor zakelijke klanten met eigen prijzen.</w:t>
      </w:r>
    </w:p>
    <w:p>
      <w:pPr>
        <w:pStyle w:val="Heading1"/>
      </w:pPr>
      <w:r>
        <w:t xml:space="preserve">Maandpakket — alles geregeld</w:t>
      </w:r>
    </w:p>
    <w:p>
      <w:pPr>
        <w:spacing w:after="120"/>
      </w:pPr>
      <w:r>
        <w:t xml:space="preserve">Een webshop is geen eenmalig project. Er gaan betalingen en klantgegevens doorheen, dus alles moet veilig, snel en online blijven. Voor één vast maandbedrag regel ik dat volledig, zodat jij je op je bedrijf kunt richten:</w:t>
      </w:r>
    </w:p>
    <w:p>
      <w:pPr>
        <w:pStyle w:val="ListParagraph"/>
        <w:numPr>
          <w:ilvl w:val="0"/>
          <w:numId w:val="2"/>
        </w:numPr>
        <w:spacing w:after="80"/>
      </w:pPr>
      <w:r>
        <w:t xml:space="preserve">Hosting &amp; infrastructuur — servers, database en opslag, betrouwbaar en snel.</w:t>
      </w:r>
    </w:p>
    <w:p>
      <w:pPr>
        <w:pStyle w:val="ListParagraph"/>
        <w:numPr>
          <w:ilvl w:val="0"/>
          <w:numId w:val="2"/>
        </w:numPr>
        <w:spacing w:after="80"/>
      </w:pPr>
      <w:r>
        <w:t xml:space="preserve">Beveiliging, SSL &amp; AVG — versleutelde verbinding, beveiligingsupdates en bescherming van klantgegevens.</w:t>
      </w:r>
    </w:p>
    <w:p>
      <w:pPr>
        <w:pStyle w:val="ListParagraph"/>
        <w:numPr>
          <w:ilvl w:val="0"/>
          <w:numId w:val="2"/>
        </w:numPr>
        <w:spacing w:after="80"/>
      </w:pPr>
      <w:r>
        <w:t xml:space="preserve">Dagelijkse back-ups — je gegevens zijn altijd veilig terug te zetten.</w:t>
      </w:r>
    </w:p>
    <w:p>
      <w:pPr>
        <w:pStyle w:val="ListParagraph"/>
        <w:numPr>
          <w:ilvl w:val="0"/>
          <w:numId w:val="2"/>
        </w:numPr>
        <w:spacing w:after="80"/>
      </w:pPr>
      <w:r>
        <w:t xml:space="preserve">Technisch onderhoud &amp; updates — alles blijft werken en up-to-date.</w:t>
      </w:r>
    </w:p>
    <w:p>
      <w:pPr>
        <w:pStyle w:val="ListParagraph"/>
        <w:numPr>
          <w:ilvl w:val="0"/>
          <w:numId w:val="2"/>
        </w:numPr>
        <w:spacing w:after="80"/>
      </w:pPr>
      <w:r>
        <w:t xml:space="preserve">Monitoring &amp; uptime — ik houd in de gaten dat je shop online en snel blijft.</w:t>
      </w:r>
    </w:p>
    <w:p>
      <w:pPr>
        <w:pStyle w:val="ListParagraph"/>
        <w:numPr>
          <w:ilvl w:val="0"/>
          <w:numId w:val="2"/>
        </w:numPr>
        <w:spacing w:after="80"/>
      </w:pPr>
      <w:r>
        <w:t xml:space="preserve">Support &amp; kleine aanpassingen — je vragen, kleine wijzigingen en bugfixes vallen hieronder.</w:t>
      </w:r>
    </w:p>
    <w:p>
      <w:pPr>
        <w:pStyle w:val="Heading1"/>
      </w:pPr>
      <w:r>
        <w:t xml:space="preserve">Investering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26"/>
        <w:gridCol w:w="3200"/>
      </w:tblGrid>
      <w:tr>
        <w:tc>
          <w:tcPr>
            <w:tcW w:type="dxa" w:w="5826"/>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pPr>
              <w:jc w:val="left"/>
            </w:pPr>
            <w:r>
              <w:rPr>
                <w:b/>
                <w:bCs/>
                <w:color w:val="FFFFFF"/>
              </w:rPr>
              <w:t xml:space="preserve">Onderdeel</w:t>
            </w:r>
          </w:p>
        </w:tc>
        <w:tc>
          <w:tcPr>
            <w:tcW w:type="dxa" w:w="32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tcPr>
          <w:p>
            <w:pPr>
              <w:jc w:val="right"/>
            </w:pPr>
            <w:r>
              <w:rPr>
                <w:b/>
                <w:bCs/>
                <w:color w:val="FFFFFF"/>
              </w:rPr>
              <w:t xml:space="preserve">Prijs</w:t>
            </w:r>
          </w:p>
        </w:tc>
      </w:tr>
      <w:tr>
        <w:tc>
          <w:tcPr>
            <w:tcW w:type="dxa" w:w="5826"/>
            <w:tcBorders>
              <w:top w:val="single" w:color="D9D9D9" w:sz="1"/>
              <w:left w:val="single" w:color="D9D9D9" w:sz="1"/>
              <w:bottom w:val="single" w:color="D9D9D9" w:sz="1"/>
              <w:right w:val="single" w:color="D9D9D9" w:sz="1"/>
            </w:tcBorders>
            <w:tcMar>
              <w:top w:type="dxa" w:w="80"/>
              <w:left w:type="dxa" w:w="140"/>
              <w:bottom w:type="dxa" w:w="80"/>
              <w:right w:type="dxa" w:w="140"/>
            </w:tcMar>
          </w:tcPr>
          <w:p>
            <w:pPr>
              <w:jc w:val="left"/>
            </w:pPr>
            <w:r>
              <w:rPr>
                <w:b w:val="false"/>
                <w:bCs w:val="false"/>
                <w:color w:val="000000"/>
              </w:rPr>
              <w:t xml:space="preserve">Webshop (eenmalig)</w:t>
            </w:r>
          </w:p>
        </w:tc>
        <w:tc>
          <w:tcPr>
            <w:tcW w:type="dxa" w:w="3200"/>
            <w:tcBorders>
              <w:top w:val="single" w:color="D9D9D9" w:sz="1"/>
              <w:left w:val="single" w:color="D9D9D9" w:sz="1"/>
              <w:bottom w:val="single" w:color="D9D9D9" w:sz="1"/>
              <w:right w:val="single" w:color="D9D9D9" w:sz="1"/>
            </w:tcBorders>
            <w:tcMar>
              <w:top w:type="dxa" w:w="80"/>
              <w:left w:type="dxa" w:w="140"/>
              <w:bottom w:type="dxa" w:w="80"/>
              <w:right w:type="dxa" w:w="140"/>
            </w:tcMar>
          </w:tcPr>
          <w:p>
            <w:pPr>
              <w:jc w:val="right"/>
            </w:pPr>
            <w:r>
              <w:rPr>
                <w:b w:val="false"/>
                <w:bCs w:val="false"/>
                <w:color w:val="000000"/>
              </w:rPr>
              <w:t xml:space="preserve">€ 3.500  excl. btw</w:t>
            </w:r>
          </w:p>
        </w:tc>
      </w:tr>
      <w:tr>
        <w:tc>
          <w:tcPr>
            <w:tcW w:type="dxa" w:w="5826"/>
            <w:tcBorders>
              <w:top w:val="single" w:color="D9D9D9" w:sz="1"/>
              <w:left w:val="single" w:color="D9D9D9" w:sz="1"/>
              <w:bottom w:val="single" w:color="D9D9D9" w:sz="1"/>
              <w:right w:val="single" w:color="D9D9D9" w:sz="1"/>
            </w:tcBorders>
            <w:tcMar>
              <w:top w:type="dxa" w:w="80"/>
              <w:left w:type="dxa" w:w="140"/>
              <w:bottom w:type="dxa" w:w="80"/>
              <w:right w:type="dxa" w:w="140"/>
            </w:tcMar>
          </w:tcPr>
          <w:p>
            <w:pPr>
              <w:jc w:val="left"/>
            </w:pPr>
            <w:r>
              <w:rPr>
                <w:b w:val="false"/>
                <w:bCs w:val="false"/>
                <w:color w:val="000000"/>
              </w:rPr>
              <w:t xml:space="preserve">Aanbetaling bij start (40%)</w:t>
            </w:r>
          </w:p>
        </w:tc>
        <w:tc>
          <w:tcPr>
            <w:tcW w:type="dxa" w:w="3200"/>
            <w:tcBorders>
              <w:top w:val="single" w:color="D9D9D9" w:sz="1"/>
              <w:left w:val="single" w:color="D9D9D9" w:sz="1"/>
              <w:bottom w:val="single" w:color="D9D9D9" w:sz="1"/>
              <w:right w:val="single" w:color="D9D9D9" w:sz="1"/>
            </w:tcBorders>
            <w:tcMar>
              <w:top w:type="dxa" w:w="80"/>
              <w:left w:type="dxa" w:w="140"/>
              <w:bottom w:type="dxa" w:w="80"/>
              <w:right w:type="dxa" w:w="140"/>
            </w:tcMar>
          </w:tcPr>
          <w:p>
            <w:pPr>
              <w:jc w:val="right"/>
            </w:pPr>
            <w:r>
              <w:rPr>
                <w:b w:val="false"/>
                <w:bCs w:val="false"/>
                <w:color w:val="000000"/>
              </w:rPr>
              <w:t xml:space="preserve">€ 1.400  excl. btw</w:t>
            </w:r>
          </w:p>
        </w:tc>
      </w:tr>
      <w:tr>
        <w:tc>
          <w:tcPr>
            <w:tcW w:type="dxa" w:w="5826"/>
            <w:tcBorders>
              <w:top w:val="single" w:color="D9D9D9" w:sz="1"/>
              <w:left w:val="single" w:color="D9D9D9" w:sz="1"/>
              <w:bottom w:val="single" w:color="D9D9D9" w:sz="1"/>
              <w:right w:val="single" w:color="D9D9D9" w:sz="1"/>
            </w:tcBorders>
            <w:tcMar>
              <w:top w:type="dxa" w:w="80"/>
              <w:left w:type="dxa" w:w="140"/>
              <w:bottom w:type="dxa" w:w="80"/>
              <w:right w:type="dxa" w:w="140"/>
            </w:tcMar>
          </w:tcPr>
          <w:p>
            <w:pPr>
              <w:jc w:val="left"/>
            </w:pPr>
            <w:r>
              <w:rPr>
                <w:b w:val="false"/>
                <w:bCs w:val="false"/>
                <w:color w:val="000000"/>
              </w:rPr>
              <w:t xml:space="preserve">Resterend bedrag (in termijnen bij oplevering)</w:t>
            </w:r>
          </w:p>
        </w:tc>
        <w:tc>
          <w:tcPr>
            <w:tcW w:type="dxa" w:w="3200"/>
            <w:tcBorders>
              <w:top w:val="single" w:color="D9D9D9" w:sz="1"/>
              <w:left w:val="single" w:color="D9D9D9" w:sz="1"/>
              <w:bottom w:val="single" w:color="D9D9D9" w:sz="1"/>
              <w:right w:val="single" w:color="D9D9D9" w:sz="1"/>
            </w:tcBorders>
            <w:tcMar>
              <w:top w:type="dxa" w:w="80"/>
              <w:left w:type="dxa" w:w="140"/>
              <w:bottom w:type="dxa" w:w="80"/>
              <w:right w:type="dxa" w:w="140"/>
            </w:tcMar>
          </w:tcPr>
          <w:p>
            <w:pPr>
              <w:jc w:val="right"/>
            </w:pPr>
            <w:r>
              <w:rPr>
                <w:b w:val="false"/>
                <w:bCs w:val="false"/>
                <w:color w:val="000000"/>
              </w:rPr>
              <w:t xml:space="preserve">€ 2.100  excl. btw</w:t>
            </w:r>
          </w:p>
        </w:tc>
      </w:tr>
      <w:tr>
        <w:tc>
          <w:tcPr>
            <w:tcW w:type="dxa" w:w="5826"/>
            <w:tcBorders>
              <w:top w:val="single" w:color="D9D9D9" w:sz="1"/>
              <w:left w:val="single" w:color="D9D9D9" w:sz="1"/>
              <w:bottom w:val="single" w:color="D9D9D9" w:sz="1"/>
              <w:right w:val="single" w:color="D9D9D9" w:sz="1"/>
            </w:tcBorders>
            <w:tcMar>
              <w:top w:type="dxa" w:w="80"/>
              <w:left w:type="dxa" w:w="140"/>
              <w:bottom w:type="dxa" w:w="80"/>
              <w:right w:type="dxa" w:w="140"/>
            </w:tcMar>
          </w:tcPr>
          <w:p>
            <w:pPr>
              <w:jc w:val="left"/>
            </w:pPr>
            <w:r>
              <w:rPr>
                <w:b w:val="false"/>
                <w:bCs w:val="false"/>
                <w:color w:val="000000"/>
              </w:rPr>
              <w:t xml:space="preserve">Maandpakket — hosting, onderhoud &amp; support</w:t>
            </w:r>
          </w:p>
        </w:tc>
        <w:tc>
          <w:tcPr>
            <w:tcW w:type="dxa" w:w="3200"/>
            <w:tcBorders>
              <w:top w:val="single" w:color="D9D9D9" w:sz="1"/>
              <w:left w:val="single" w:color="D9D9D9" w:sz="1"/>
              <w:bottom w:val="single" w:color="D9D9D9" w:sz="1"/>
              <w:right w:val="single" w:color="D9D9D9" w:sz="1"/>
            </w:tcBorders>
            <w:tcMar>
              <w:top w:type="dxa" w:w="80"/>
              <w:left w:type="dxa" w:w="140"/>
              <w:bottom w:type="dxa" w:w="80"/>
              <w:right w:type="dxa" w:w="140"/>
            </w:tcMar>
          </w:tcPr>
          <w:p>
            <w:pPr>
              <w:jc w:val="right"/>
            </w:pPr>
            <w:r>
              <w:rPr>
                <w:b w:val="false"/>
                <w:bCs w:val="false"/>
                <w:color w:val="000000"/>
              </w:rPr>
              <w:t xml:space="preserve">€ 125 / maand  excl. btw</w:t>
            </w:r>
          </w:p>
        </w:tc>
      </w:tr>
    </w:tbl>
    <w:p>
      <w:pPr>
        <w:spacing w:after="120" w:before="120"/>
      </w:pPr>
      <w:r>
        <w:rPr>
          <w:i/>
          <w:iCs/>
          <w:color w:val="595959"/>
          <w:sz w:val="18"/>
          <w:szCs w:val="18"/>
        </w:rPr>
        <w:t xml:space="preserve">Bedragen zijn exclusief btw. Als btw-plichtig ondernemer kun je de btw terugvragen.</w:t>
      </w:r>
    </w:p>
    <w:p>
      <w:pPr>
        <w:pStyle w:val="Heading1"/>
      </w:pPr>
      <w:r>
        <w:t xml:space="preserve">Zo pak ik het aan</w:t>
      </w:r>
    </w:p>
    <w:p>
      <w:pPr>
        <w:spacing w:after="120"/>
      </w:pPr>
      <w:r>
        <w:t xml:space="preserve">Ik bouw het in fases: eerst de webshop en het productbeheer, dan de betalingen, en daarna je beheeromgeving en overzicht. Je ziet onderweg steeds wat er staat, zodat we samen kunnen bijsturen. Zo houden we het overzichtelijk en weet je altijd waar we staan.</w:t>
      </w:r>
    </w:p>
    <w:p>
      <w:pPr>
        <w:pStyle w:val="Heading1"/>
      </w:pPr>
      <w:r>
        <w:t xml:space="preserve">Vervolg</w:t>
      </w:r>
    </w:p>
    <w:p>
      <w:pPr>
        <w:spacing w:after="120"/>
      </w:pPr>
      <w:r>
        <w:t xml:space="preserve">Klinkt dit goed? Dan plannen we een kort gesprek om de functies definitief te maken, en kunnen we starten.</w:t>
      </w:r>
    </w:p>
    <w:p>
      <w:pPr>
        <w:spacing w:before="200"/>
      </w:pPr>
      <w:r>
        <w:t xml:space="preserve">Met vriendelijke groet,</w:t>
      </w:r>
    </w:p>
    <w:p>
      <w:r>
        <w:rPr>
          <w:b/>
          <w:bCs/>
        </w:rPr>
        <w:t xml:space="preserve">Julian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2026-06-02T10:00:12.585Z</dcterms:created>
  <dcterms:modified xsi:type="dcterms:W3CDTF">2026-06-02T10:00:12.586Z</dcterms:modified>
</cp:coreProperties>
</file>

<file path=docProps/custom.xml><?xml version="1.0" encoding="utf-8"?>
<Properties xmlns="http://schemas.openxmlformats.org/officeDocument/2006/custom-properties" xmlns:vt="http://schemas.openxmlformats.org/officeDocument/2006/docPropsVTypes"/>
</file>