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5143DA85">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rPr>
          <w:rFonts w:asciiTheme="minorHAnsi" w:eastAsiaTheme="minorHAnsi" w:hAnsiTheme="minorHAnsi" w:cstheme="minorBidi"/>
          <w:color w:val="auto"/>
          <w:sz w:val="22"/>
          <w:szCs w:val="22"/>
          <w:lang w:eastAsia="en-US"/>
        </w:rPr>
        <w:id w:val="1668980625"/>
        <w:docPartObj>
          <w:docPartGallery w:val="Table of Contents"/>
          <w:docPartUnique/>
        </w:docPartObj>
      </w:sdtPr>
      <w:sdtEndPr>
        <w:rPr>
          <w:b/>
          <w:bCs/>
        </w:rPr>
      </w:sdtEndPr>
      <w:sdtContent>
        <w:p w14:paraId="307C48B6" w14:textId="50A3172B" w:rsidR="001A3D3F" w:rsidRDefault="001A3D3F" w:rsidP="001A3D3F">
          <w:pPr>
            <w:pStyle w:val="TtuloTDC"/>
            <w:jc w:val="both"/>
          </w:pPr>
        </w:p>
        <w:p w14:paraId="2AFE4E2D" w14:textId="5F8F4282" w:rsidR="00B229E8" w:rsidRDefault="00000000"/>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8034706" w:rsidR="008E16BA" w:rsidRPr="00B36DB0" w:rsidRDefault="008E16BA" w:rsidP="008E16BA">
                            <w:pPr>
                              <w:pStyle w:val="Descripcin"/>
                              <w:rPr>
                                <w:rFonts w:ascii="Arial" w:hAnsi="Arial" w:cs="Arial"/>
                                <w:noProof/>
                              </w:rPr>
                            </w:pPr>
                            <w:r>
                              <w:t xml:space="preserve">Ilustración </w:t>
                            </w:r>
                            <w:fldSimple w:instr=" SEQ Ilustración \* ARABIC ">
                              <w:r w:rsidR="006149AC">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8034706" w:rsidR="008E16BA" w:rsidRPr="00B36DB0" w:rsidRDefault="008E16BA" w:rsidP="008E16BA">
                      <w:pPr>
                        <w:pStyle w:val="Descripcin"/>
                        <w:rPr>
                          <w:rFonts w:ascii="Arial" w:hAnsi="Arial" w:cs="Arial"/>
                          <w:noProof/>
                        </w:rPr>
                      </w:pPr>
                      <w:r>
                        <w:t xml:space="preserve">Ilustración </w:t>
                      </w:r>
                      <w:fldSimple w:instr=" SEQ Ilustración \* ARABIC ">
                        <w:r w:rsidR="006149AC">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6DA42381" w:rsidR="008E16BA" w:rsidRPr="00C83643" w:rsidRDefault="008E16BA" w:rsidP="008E16BA">
                                  <w:pPr>
                                    <w:pStyle w:val="Descripcin"/>
                                    <w:rPr>
                                      <w:sz w:val="22"/>
                                      <w:szCs w:val="22"/>
                                    </w:rPr>
                                  </w:pPr>
                                  <w:r>
                                    <w:t xml:space="preserve">Ilustración </w:t>
                                  </w:r>
                                  <w:fldSimple w:instr=" SEQ Ilustración \* ARABIC ">
                                    <w:r w:rsidR="006149AC">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6DA42381" w:rsidR="008E16BA" w:rsidRPr="00C83643" w:rsidRDefault="008E16BA" w:rsidP="008E16BA">
                            <w:pPr>
                              <w:pStyle w:val="Descripcin"/>
                              <w:rPr>
                                <w:sz w:val="22"/>
                                <w:szCs w:val="22"/>
                              </w:rPr>
                            </w:pPr>
                            <w:r>
                              <w:t xml:space="preserve">Ilustración </w:t>
                            </w:r>
                            <w:fldSimple w:instr=" SEQ Ilustración \* ARABIC ">
                              <w:r w:rsidR="006149AC">
                                <w:rPr>
                                  <w:noProof/>
                                </w:rPr>
                                <w:t>2</w:t>
                              </w:r>
                            </w:fldSimple>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0CA28137">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16BC14C6" w:rsidR="00956A85" w:rsidRPr="0076718C" w:rsidRDefault="00956A85" w:rsidP="00956A85">
                            <w:pPr>
                              <w:pStyle w:val="Descripcin"/>
                              <w:rPr>
                                <w:rFonts w:ascii="Arial" w:hAnsi="Arial" w:cs="Arial"/>
                                <w:noProof/>
                              </w:rPr>
                            </w:pPr>
                            <w:r>
                              <w:t xml:space="preserve">Ilustración </w:t>
                            </w:r>
                            <w:fldSimple w:instr=" SEQ Ilustración \* ARABIC ">
                              <w:r w:rsidR="006149AC">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16BC14C6" w:rsidR="00956A85" w:rsidRPr="0076718C" w:rsidRDefault="00956A85" w:rsidP="00956A85">
                      <w:pPr>
                        <w:pStyle w:val="Descripcin"/>
                        <w:rPr>
                          <w:rFonts w:ascii="Arial" w:hAnsi="Arial" w:cs="Arial"/>
                          <w:noProof/>
                        </w:rPr>
                      </w:pPr>
                      <w:r>
                        <w:t xml:space="preserve">Ilustración </w:t>
                      </w:r>
                      <w:fldSimple w:instr=" SEQ Ilustración \* ARABIC ">
                        <w:r w:rsidR="006149AC">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3C7CA3CE" w:rsidR="00F72E75" w:rsidRPr="00C473CF" w:rsidRDefault="00F72E75" w:rsidP="00F72E75">
                            <w:pPr>
                              <w:pStyle w:val="Descripcin"/>
                              <w:rPr>
                                <w:rFonts w:ascii="Arial" w:hAnsi="Arial" w:cs="Arial"/>
                                <w:noProof/>
                              </w:rPr>
                            </w:pPr>
                            <w:r>
                              <w:t xml:space="preserve">Ilustración </w:t>
                            </w:r>
                            <w:fldSimple w:instr=" SEQ Ilustración \* ARABIC ">
                              <w:r w:rsidR="006149AC">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3C7CA3CE" w:rsidR="00F72E75" w:rsidRPr="00C473CF" w:rsidRDefault="00F72E75" w:rsidP="00F72E75">
                      <w:pPr>
                        <w:pStyle w:val="Descripcin"/>
                        <w:rPr>
                          <w:rFonts w:ascii="Arial" w:hAnsi="Arial" w:cs="Arial"/>
                          <w:noProof/>
                        </w:rPr>
                      </w:pPr>
                      <w:r>
                        <w:t xml:space="preserve">Ilustración </w:t>
                      </w:r>
                      <w:fldSimple w:instr=" SEQ Ilustración \* ARABIC ">
                        <w:r w:rsidR="006149AC">
                          <w:rPr>
                            <w:noProof/>
                          </w:rPr>
                          <w:t>4</w:t>
                        </w:r>
                      </w:fldSimple>
                      <w:r>
                        <w:t xml:space="preserve"> Arquitectura SDN</w:t>
                      </w:r>
                    </w:p>
                  </w:txbxContent>
                </v:textbox>
                <w10:wrap type="square"/>
              </v:shape>
            </w:pict>
          </mc:Fallback>
        </mc:AlternateContent>
      </w:r>
      <w:r w:rsidRPr="00EB4A5C">
        <w:rPr>
          <w:rStyle w:val="Ttulo3Car"/>
          <w:rFonts w:ascii="Arial" w:hAnsi="Arial" w:cs="Arial"/>
          <w:noProof/>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8285"/>
      <w:bookmarkStart w:id="46" w:name="_Toc192239306"/>
      <w:bookmarkStart w:id="47" w:name="_Toc192236454"/>
      <w:r w:rsidRPr="00383745">
        <w:rPr>
          <w:rStyle w:val="Ttulo2Car"/>
          <w:rFonts w:ascii="Arial" w:hAnsi="Arial" w:cs="Arial"/>
          <w:color w:val="70AD47" w:themeColor="accent6"/>
          <w:sz w:val="24"/>
          <w:szCs w:val="24"/>
        </w:rPr>
        <w:t>Características de las SDN</w:t>
      </w:r>
      <w:bookmarkEnd w:id="45"/>
      <w:bookmarkEnd w:id="46"/>
      <w:r w:rsidRPr="00383745">
        <w:rPr>
          <w:rFonts w:ascii="Arial" w:hAnsi="Arial" w:cs="Arial"/>
          <w:color w:val="70AD47" w:themeColor="accent6"/>
          <w:sz w:val="24"/>
          <w:szCs w:val="24"/>
        </w:rPr>
        <w:t>:</w:t>
      </w:r>
      <w:bookmarkEnd w:id="47"/>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Ilustración 10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Ilustración 10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w:t>
      </w:r>
      <w:proofErr w:type="gramStart"/>
      <w:r>
        <w:rPr>
          <w:rFonts w:ascii="Arial" w:hAnsi="Arial" w:cs="Arial"/>
          <w:sz w:val="24"/>
          <w:szCs w:val="24"/>
        </w:rPr>
        <w:t>malware</w:t>
      </w:r>
      <w:proofErr w:type="gramEnd"/>
      <w:r>
        <w:rPr>
          <w:rFonts w:ascii="Arial" w:hAnsi="Arial" w:cs="Arial"/>
          <w:sz w:val="24"/>
          <w:szCs w:val="24"/>
        </w:rPr>
        <w:t xml:space="preserv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En el modelo NFV, es difícil poder contener y aislar el </w:t>
      </w:r>
      <w:proofErr w:type="gramStart"/>
      <w:r>
        <w:rPr>
          <w:rFonts w:ascii="Arial" w:hAnsi="Arial" w:cs="Arial"/>
          <w:sz w:val="24"/>
          <w:szCs w:val="24"/>
        </w:rPr>
        <w:t>malware</w:t>
      </w:r>
      <w:proofErr w:type="gramEnd"/>
      <w:r>
        <w:rPr>
          <w:rFonts w:ascii="Arial" w:hAnsi="Arial" w:cs="Arial"/>
          <w:sz w:val="24"/>
          <w:szCs w:val="24"/>
        </w:rPr>
        <w:t xml:space="preserve">. Es fácil que el </w:t>
      </w:r>
      <w:proofErr w:type="gramStart"/>
      <w:r>
        <w:rPr>
          <w:rFonts w:ascii="Arial" w:hAnsi="Arial" w:cs="Arial"/>
          <w:sz w:val="24"/>
          <w:szCs w:val="24"/>
        </w:rPr>
        <w:t>malware</w:t>
      </w:r>
      <w:proofErr w:type="gramEnd"/>
      <w:r>
        <w:rPr>
          <w:rFonts w:ascii="Arial" w:hAnsi="Arial" w:cs="Arial"/>
          <w:sz w:val="24"/>
          <w:szCs w:val="24"/>
        </w:rPr>
        <w:t xml:space="preserv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2AA29807" w14:textId="77777777" w:rsidR="00192364" w:rsidRPr="00192364" w:rsidRDefault="00192364" w:rsidP="00192364">
      <w:pPr>
        <w:pStyle w:val="Ttulo1"/>
        <w:jc w:val="both"/>
        <w:rPr>
          <w:rFonts w:ascii="Arial" w:hAnsi="Arial" w:cs="Arial"/>
          <w:color w:val="70AD47" w:themeColor="accent6"/>
          <w:sz w:val="24"/>
          <w:szCs w:val="24"/>
        </w:rPr>
      </w:pPr>
      <w:r w:rsidRPr="00192364">
        <w:rPr>
          <w:rFonts w:ascii="Arial" w:hAnsi="Arial" w:cs="Arial"/>
          <w:color w:val="70AD47" w:themeColor="accent6"/>
          <w:sz w:val="24"/>
          <w:szCs w:val="24"/>
        </w:rPr>
        <w:lastRenderedPageBreak/>
        <w:t>Importancia de la seguridad en redes definidas por software</w:t>
      </w:r>
    </w:p>
    <w:p w14:paraId="3AAF0AD4" w14:textId="77777777" w:rsidR="00192364" w:rsidRDefault="00192364" w:rsidP="00192364">
      <w:pPr>
        <w:spacing w:line="360" w:lineRule="auto"/>
        <w:jc w:val="both"/>
        <w:rPr>
          <w:rFonts w:ascii="Arial" w:hAnsi="Arial" w:cs="Arial"/>
          <w:sz w:val="24"/>
          <w:szCs w:val="24"/>
        </w:rPr>
      </w:pPr>
      <w:r w:rsidRPr="002C20E6">
        <w:rPr>
          <w:rFonts w:ascii="Arial" w:hAnsi="Arial" w:cs="Arial"/>
          <w:sz w:val="24"/>
          <w:szCs w:val="24"/>
        </w:rPr>
        <w:t xml:space="preserve">La gran transición a las redes SDN consiguió poder traer grandes beneficios, pero también introdujo nuevos desafíos relacionados con la seguridad. La naturaleza centralizada del control en SDN puede ser un objetivo bastante atractivo para los atacantes, quienes podrían llegar a aprovecharse de las vulnerabilidades para comprometer toda la red y exponerla a ciertos peligros y vulnerabilidades. Por ello, la seguridad en redes SDN debe ser una prioridad desde el diseño hasta su implementación. Además, debemos saber que uno de los mayores beneficios de SDN es su capacidad para poder implementar políticas de seguridad de una manera rápida y eficiente. Al tener todo el control centralizado, las políticas pueden ser aplicadas de manera uniforme en toda la red, reduciendo así la posibilidad de configuraciones erróneas que podrían ser explotadas por los atacantes. También SDN nos permite obtener una mejor visibilidad del tráfico de red, facilitando la detección anticipada de las actividades sospechosas. </w:t>
      </w:r>
    </w:p>
    <w:p w14:paraId="683F290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¿Cómo podemos mejorar la seguridad de las SDN?</w:t>
      </w:r>
    </w:p>
    <w:p w14:paraId="5A15CC5B" w14:textId="77777777" w:rsidR="00192364" w:rsidRDefault="00192364" w:rsidP="00192364">
      <w:pPr>
        <w:spacing w:line="360" w:lineRule="auto"/>
        <w:jc w:val="both"/>
        <w:rPr>
          <w:rFonts w:ascii="Arial" w:hAnsi="Arial" w:cs="Arial"/>
          <w:sz w:val="24"/>
          <w:szCs w:val="24"/>
        </w:rPr>
      </w:pPr>
      <w:r w:rsidRPr="00311699">
        <w:rPr>
          <w:rFonts w:ascii="Arial" w:hAnsi="Arial" w:cs="Arial"/>
          <w:sz w:val="24"/>
          <w:szCs w:val="24"/>
        </w:rPr>
        <w:t xml:space="preserve">Hay diferentes métodos </w:t>
      </w:r>
      <w:r>
        <w:rPr>
          <w:rFonts w:ascii="Arial" w:hAnsi="Arial" w:cs="Arial"/>
          <w:sz w:val="24"/>
          <w:szCs w:val="24"/>
        </w:rPr>
        <w:t>con lo que podemos lograr una seguridad más eficiente, entre los más usados estarían:</w:t>
      </w:r>
    </w:p>
    <w:p w14:paraId="114D9E98"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Monitoreo y análisis del tráfico</w:t>
      </w:r>
      <w:r>
        <w:rPr>
          <w:rFonts w:ascii="Arial" w:hAnsi="Arial" w:cs="Arial"/>
          <w:sz w:val="24"/>
          <w:szCs w:val="24"/>
        </w:rPr>
        <w:t>: Hacer uso de un monitoreo continuo del tráfico de la red es crucial para poder identificar y reducir las amenazas de seguridad. Las herramientas de análisis de tráfico pueden ser utilizadas para detectar patrones inusuales que podrían indicar una violación de seguridad. Además, hay que tener en cuenta que la implementación de sistemas de detección de intrusiones (IDS) pueden ayudarnos a identificar y responder de una manera rápida a las actividades detectadas como maliciosas.</w:t>
      </w:r>
    </w:p>
    <w:p w14:paraId="69C9F765" w14:textId="77777777" w:rsidR="00192364" w:rsidRDefault="00192364" w:rsidP="00192364">
      <w:pPr>
        <w:pStyle w:val="Prrafodelista"/>
        <w:spacing w:line="360" w:lineRule="auto"/>
        <w:jc w:val="both"/>
        <w:rPr>
          <w:rFonts w:ascii="Arial" w:hAnsi="Arial" w:cs="Arial"/>
          <w:sz w:val="24"/>
          <w:szCs w:val="24"/>
        </w:rPr>
      </w:pPr>
    </w:p>
    <w:p w14:paraId="0424D727"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lastRenderedPageBreak/>
        <w:t>Uso de cifrado</w:t>
      </w:r>
      <w:r>
        <w:rPr>
          <w:rFonts w:ascii="Arial" w:hAnsi="Arial" w:cs="Arial"/>
          <w:sz w:val="24"/>
          <w:szCs w:val="24"/>
        </w:rPr>
        <w:t>: El cifrado es una herramienta muy esencial a la hora de tener que proteger la comunicación entre los diferentes componentes de SDN. Existen protocolos como SSL/TLS que deben ser utilizados para cifrar todo el tráfico entre el controlador y los dispositivos de red, pudiendo así asegurar que los datos no sean interceptados o modificados por los atacantes cuando se encuentran en transmisión.</w:t>
      </w:r>
    </w:p>
    <w:p w14:paraId="145EB781" w14:textId="77777777" w:rsidR="00192364" w:rsidRDefault="00192364" w:rsidP="00192364">
      <w:pPr>
        <w:pStyle w:val="Prrafodelista"/>
        <w:spacing w:line="360" w:lineRule="auto"/>
        <w:jc w:val="both"/>
        <w:rPr>
          <w:rFonts w:ascii="Arial" w:hAnsi="Arial" w:cs="Arial"/>
          <w:sz w:val="24"/>
          <w:szCs w:val="24"/>
        </w:rPr>
      </w:pPr>
    </w:p>
    <w:p w14:paraId="10B29C85"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Implementación de autenticación y autorización</w:t>
      </w:r>
      <w:r>
        <w:rPr>
          <w:rFonts w:ascii="Arial" w:hAnsi="Arial" w:cs="Arial"/>
          <w:sz w:val="24"/>
          <w:szCs w:val="24"/>
        </w:rPr>
        <w:t>: La seguridad en redes SDN empieza desde tener una autenticación sólida y una autorización. Actualmente las empresas deben utilizar protocolos de autenticación que sean robustos como lo son RADIUS o TACACS, con los que conseguimos poder garantizar que solo los usuarios autorizados puedan acceder al controlador SDN. Además de que es crucial tener que implementar también políticas de autorización que sean estrictas para limitar los privilegios de los usuarios según sus roles.</w:t>
      </w:r>
    </w:p>
    <w:p w14:paraId="2F2B46D3" w14:textId="77777777" w:rsidR="00192364" w:rsidRPr="006F1EEF" w:rsidRDefault="00192364" w:rsidP="00192364">
      <w:pPr>
        <w:pStyle w:val="Prrafodelista"/>
        <w:rPr>
          <w:rFonts w:ascii="Arial" w:hAnsi="Arial" w:cs="Arial"/>
          <w:sz w:val="24"/>
          <w:szCs w:val="24"/>
        </w:rPr>
      </w:pPr>
    </w:p>
    <w:p w14:paraId="2A48E272"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Segmentación de redes</w:t>
      </w:r>
      <w:r>
        <w:rPr>
          <w:rFonts w:ascii="Arial" w:hAnsi="Arial" w:cs="Arial"/>
          <w:sz w:val="24"/>
          <w:szCs w:val="24"/>
        </w:rPr>
        <w:t xml:space="preserve">: Esta es una práctica efectiva para poder limitar el impacto de un ataque. Al tener que dividir la red en diferentes segmentos más pequeños, se puede contener el acceso no autorizado y minimizar la posible propagación de amenazas. En los entornos SDN, la segmentación de redes puede conseguirse de forma dinámica, pudiendo así adaptarse rápidamente a las amenazas que surjan. </w:t>
      </w:r>
    </w:p>
    <w:p w14:paraId="4924086E" w14:textId="77777777" w:rsidR="00192364" w:rsidRPr="00CF0FFF" w:rsidRDefault="00192364" w:rsidP="00192364">
      <w:pPr>
        <w:pStyle w:val="Prrafodelista"/>
        <w:rPr>
          <w:rFonts w:ascii="Arial" w:hAnsi="Arial" w:cs="Arial"/>
          <w:sz w:val="24"/>
          <w:szCs w:val="24"/>
        </w:rPr>
      </w:pPr>
    </w:p>
    <w:p w14:paraId="066435B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Retos comunes de la seguridad en la SDN</w:t>
      </w:r>
    </w:p>
    <w:p w14:paraId="4D6D411C"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Integración con infraestructuras legadas</w:t>
      </w:r>
      <w:r>
        <w:rPr>
          <w:rFonts w:ascii="Arial" w:hAnsi="Arial" w:cs="Arial"/>
          <w:sz w:val="24"/>
          <w:szCs w:val="24"/>
        </w:rPr>
        <w:t xml:space="preserve">: La integración de SDN con infraestructuras de red legadas puede llegar a presentar desafíos de compatibilidad y seguridad. Ya que es esencial planificar </w:t>
      </w:r>
      <w:r>
        <w:rPr>
          <w:rFonts w:ascii="Arial" w:hAnsi="Arial" w:cs="Arial"/>
          <w:sz w:val="24"/>
          <w:szCs w:val="24"/>
        </w:rPr>
        <w:lastRenderedPageBreak/>
        <w:t>cuidadosamente la transición a SDN para garantizar una integración fluida y segura que no comprometa a la infraestructura existente.</w:t>
      </w:r>
    </w:p>
    <w:p w14:paraId="7367BFA3" w14:textId="77777777" w:rsidR="00192364" w:rsidRDefault="00192364" w:rsidP="00192364">
      <w:pPr>
        <w:pStyle w:val="Prrafodelista"/>
        <w:spacing w:line="360" w:lineRule="auto"/>
        <w:jc w:val="both"/>
        <w:rPr>
          <w:rFonts w:ascii="Arial" w:hAnsi="Arial" w:cs="Arial"/>
          <w:sz w:val="24"/>
          <w:szCs w:val="24"/>
        </w:rPr>
      </w:pPr>
    </w:p>
    <w:p w14:paraId="6E2FC2B4"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Complejidad para la gestión de políticas</w:t>
      </w:r>
      <w:r>
        <w:rPr>
          <w:rFonts w:ascii="Arial" w:hAnsi="Arial" w:cs="Arial"/>
          <w:sz w:val="24"/>
          <w:szCs w:val="24"/>
        </w:rPr>
        <w:t>: A medida que las redes se van volviendo más complejas, la gestión de políticas de seguridad puede convertirse en un desafío. Las organizaciones deben poder asegurarse de que sus políticas de seguridad sean claras, consistentes y fáciles a la hora de gestionarlas para evitar configuraciones erróneas que podrían ser explotadas.</w:t>
      </w:r>
    </w:p>
    <w:p w14:paraId="394D6236" w14:textId="77777777" w:rsidR="00192364" w:rsidRPr="00AF3CEB" w:rsidRDefault="00192364" w:rsidP="00192364">
      <w:pPr>
        <w:pStyle w:val="Prrafodelista"/>
        <w:rPr>
          <w:rFonts w:ascii="Arial" w:hAnsi="Arial" w:cs="Arial"/>
          <w:sz w:val="24"/>
          <w:szCs w:val="24"/>
        </w:rPr>
      </w:pPr>
    </w:p>
    <w:p w14:paraId="68BD7DF8"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Herramientas para aumentar la seguridad en SDN</w:t>
      </w:r>
    </w:p>
    <w:p w14:paraId="48967074" w14:textId="77777777" w:rsidR="00192364" w:rsidRPr="00881D71" w:rsidRDefault="00192364" w:rsidP="00192364">
      <w:pPr>
        <w:pStyle w:val="Prrafodelista"/>
        <w:rPr>
          <w:rFonts w:ascii="Arial" w:hAnsi="Arial" w:cs="Arial"/>
          <w:sz w:val="24"/>
          <w:szCs w:val="24"/>
        </w:rPr>
      </w:pPr>
    </w:p>
    <w:p w14:paraId="07128B14" w14:textId="77777777" w:rsidR="00141E2D" w:rsidRPr="00141E2D" w:rsidRDefault="00141E2D" w:rsidP="00141E2D"/>
    <w:p w14:paraId="63714CF7" w14:textId="77777777" w:rsidR="00F4298C" w:rsidRPr="00F4298C" w:rsidRDefault="00F4298C" w:rsidP="00F4298C"/>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37B08" w14:textId="77777777" w:rsidR="00B37F9E" w:rsidRDefault="00B37F9E">
      <w:pPr>
        <w:spacing w:after="0" w:line="240" w:lineRule="auto"/>
      </w:pPr>
      <w:r>
        <w:separator/>
      </w:r>
    </w:p>
  </w:endnote>
  <w:endnote w:type="continuationSeparator" w:id="0">
    <w:p w14:paraId="14A9CCDD" w14:textId="77777777" w:rsidR="00B37F9E" w:rsidRDefault="00B3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CF06" w14:textId="77777777" w:rsidR="00B37F9E" w:rsidRDefault="00B37F9E">
      <w:pPr>
        <w:spacing w:after="0" w:line="240" w:lineRule="auto"/>
      </w:pPr>
      <w:r>
        <w:separator/>
      </w:r>
    </w:p>
  </w:footnote>
  <w:footnote w:type="continuationSeparator" w:id="0">
    <w:p w14:paraId="6E9871D5" w14:textId="77777777" w:rsidR="00B37F9E" w:rsidRDefault="00B37F9E">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990B5C"/>
    <w:multiLevelType w:val="hybridMultilevel"/>
    <w:tmpl w:val="20A49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7"/>
  </w:num>
  <w:num w:numId="9" w16cid:durableId="602225787">
    <w:abstractNumId w:val="38"/>
  </w:num>
  <w:num w:numId="10" w16cid:durableId="566574630">
    <w:abstractNumId w:val="46"/>
  </w:num>
  <w:num w:numId="11" w16cid:durableId="3283278">
    <w:abstractNumId w:val="45"/>
  </w:num>
  <w:num w:numId="12" w16cid:durableId="767315684">
    <w:abstractNumId w:val="20"/>
  </w:num>
  <w:num w:numId="13" w16cid:durableId="97720991">
    <w:abstractNumId w:val="1"/>
  </w:num>
  <w:num w:numId="14" w16cid:durableId="971444630">
    <w:abstractNumId w:val="29"/>
  </w:num>
  <w:num w:numId="15" w16cid:durableId="363098218">
    <w:abstractNumId w:val="35"/>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4"/>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1"/>
  </w:num>
  <w:num w:numId="41" w16cid:durableId="71859796">
    <w:abstractNumId w:val="23"/>
  </w:num>
  <w:num w:numId="42" w16cid:durableId="56364291">
    <w:abstractNumId w:val="40"/>
  </w:num>
  <w:num w:numId="43" w16cid:durableId="1019814943">
    <w:abstractNumId w:val="36"/>
  </w:num>
  <w:num w:numId="44" w16cid:durableId="631442985">
    <w:abstractNumId w:val="43"/>
  </w:num>
  <w:num w:numId="45" w16cid:durableId="426583383">
    <w:abstractNumId w:val="19"/>
  </w:num>
  <w:num w:numId="46" w16cid:durableId="1491746539">
    <w:abstractNumId w:val="42"/>
  </w:num>
  <w:num w:numId="47" w16cid:durableId="29251590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80E76"/>
    <w:rsid w:val="00085F9F"/>
    <w:rsid w:val="00091B7E"/>
    <w:rsid w:val="00092D80"/>
    <w:rsid w:val="0009408F"/>
    <w:rsid w:val="000A138B"/>
    <w:rsid w:val="000C3AA5"/>
    <w:rsid w:val="000C55BD"/>
    <w:rsid w:val="000D2FDC"/>
    <w:rsid w:val="000D32F8"/>
    <w:rsid w:val="000D3D90"/>
    <w:rsid w:val="000D4A63"/>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1E2D"/>
    <w:rsid w:val="00142F6F"/>
    <w:rsid w:val="00153AAF"/>
    <w:rsid w:val="0015557A"/>
    <w:rsid w:val="001610D3"/>
    <w:rsid w:val="0016207A"/>
    <w:rsid w:val="00166354"/>
    <w:rsid w:val="00172FF6"/>
    <w:rsid w:val="00174494"/>
    <w:rsid w:val="001745C0"/>
    <w:rsid w:val="00184CAE"/>
    <w:rsid w:val="00191EFE"/>
    <w:rsid w:val="00192364"/>
    <w:rsid w:val="00192660"/>
    <w:rsid w:val="0019466D"/>
    <w:rsid w:val="001A3D3F"/>
    <w:rsid w:val="001A5673"/>
    <w:rsid w:val="001B263D"/>
    <w:rsid w:val="001B66A8"/>
    <w:rsid w:val="001C0DEA"/>
    <w:rsid w:val="001C3326"/>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3BCA"/>
    <w:rsid w:val="00450F9A"/>
    <w:rsid w:val="00453A85"/>
    <w:rsid w:val="004555DD"/>
    <w:rsid w:val="0046314D"/>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4D64"/>
    <w:rsid w:val="0074752E"/>
    <w:rsid w:val="0075095A"/>
    <w:rsid w:val="00753235"/>
    <w:rsid w:val="007763D1"/>
    <w:rsid w:val="00781410"/>
    <w:rsid w:val="00781DA7"/>
    <w:rsid w:val="00787A4C"/>
    <w:rsid w:val="00791A65"/>
    <w:rsid w:val="007A13BF"/>
    <w:rsid w:val="007A13C0"/>
    <w:rsid w:val="007B0A3A"/>
    <w:rsid w:val="007B54A9"/>
    <w:rsid w:val="007B6F32"/>
    <w:rsid w:val="007C35B3"/>
    <w:rsid w:val="007C3F3D"/>
    <w:rsid w:val="007C7404"/>
    <w:rsid w:val="007D3614"/>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F350A"/>
    <w:rsid w:val="008F4CD1"/>
    <w:rsid w:val="0090483D"/>
    <w:rsid w:val="009061F5"/>
    <w:rsid w:val="00911468"/>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A0661B"/>
    <w:rsid w:val="00A0734C"/>
    <w:rsid w:val="00A103C4"/>
    <w:rsid w:val="00A1186E"/>
    <w:rsid w:val="00A141B2"/>
    <w:rsid w:val="00A161F2"/>
    <w:rsid w:val="00A1634A"/>
    <w:rsid w:val="00A16EC4"/>
    <w:rsid w:val="00A42DCA"/>
    <w:rsid w:val="00A435FB"/>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F1A4B"/>
    <w:rsid w:val="00AF7E43"/>
    <w:rsid w:val="00B178AA"/>
    <w:rsid w:val="00B21898"/>
    <w:rsid w:val="00B229E8"/>
    <w:rsid w:val="00B30F7D"/>
    <w:rsid w:val="00B32FC5"/>
    <w:rsid w:val="00B37F9E"/>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22B9"/>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938DD"/>
    <w:rsid w:val="00DA0416"/>
    <w:rsid w:val="00DA76B8"/>
    <w:rsid w:val="00DB2639"/>
    <w:rsid w:val="00DB3703"/>
    <w:rsid w:val="00DB5E99"/>
    <w:rsid w:val="00DC5613"/>
    <w:rsid w:val="00DD260B"/>
    <w:rsid w:val="00DE0E4F"/>
    <w:rsid w:val="00DF0FFE"/>
    <w:rsid w:val="00DF1EC9"/>
    <w:rsid w:val="00DF68D9"/>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20CA7"/>
    <w:rsid w:val="00F31014"/>
    <w:rsid w:val="00F34331"/>
    <w:rsid w:val="00F34599"/>
    <w:rsid w:val="00F37476"/>
    <w:rsid w:val="00F4298C"/>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3.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4.xml><?xml version="1.0" encoding="utf-8"?>
<ds:datastoreItem xmlns:ds="http://schemas.openxmlformats.org/officeDocument/2006/customXml" ds:itemID="{42E3C8EC-5B10-45B3-8E97-FBD6324B8B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42</Pages>
  <Words>6611</Words>
  <Characters>36361</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320</cp:revision>
  <cp:lastPrinted>2025-03-05T11:21:00Z</cp:lastPrinted>
  <dcterms:created xsi:type="dcterms:W3CDTF">2025-02-25T09:05:00Z</dcterms:created>
  <dcterms:modified xsi:type="dcterms:W3CDTF">2025-03-07T12:08:00Z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