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1"/>
      </w:pPr>
    </w:p>
    <w:p>
      <w:pPr>
        <w:widowControl w:val="1"/>
      </w:pPr>
    </w:p>
    <w:p>
      <w:pPr>
        <w:widowControl w:val="1"/>
      </w:pPr>
    </w:p>
    <w:p>
      <w:pPr>
        <w:widowControl w:val="1"/>
      </w:pPr>
    </w:p>
    <w:p>
      <w:pPr>
        <w:widowControl w:val="1"/>
      </w:pPr>
    </w:p>
    <w:p>
      <w:pPr>
        <w:spacing w:after="400"/>
        <w:jc w:val="center"/>
        <w:widowControl w:val="1"/>
      </w:pPr>
      <w:r>
        <w:drawing>
          <wp:inline xmlns:a="http://schemas.openxmlformats.org/drawingml/2006/main" xmlns:pic="http://schemas.openxmlformats.org/drawingml/2006/picture">
            <wp:extent cx="6035040" cy="1482180"/>
            <wp:docPr id="1" name="Picture 1"/>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035040" cy="1482180"/>
                    </a:xfrm>
                    <a:prstGeom prst="rect"/>
                  </pic:spPr>
                </pic:pic>
              </a:graphicData>
            </a:graphic>
          </wp:inline>
        </w:drawing>
      </w:r>
    </w:p>
    <w:p>
      <w:pPr>
        <w:spacing w:before="400" w:after="1400"/>
        <w:jc w:val="center"/>
        <w:widowControl w:val="1"/>
      </w:pPr>
      <w:r>
        <w:rPr>
          <w:rFonts w:ascii="Arial" w:hAnsi="Arial" w:eastAsia="Arial"/>
          <w:b/>
          <w:i w:val="0"/>
          <w:sz w:val="68"/>
        </w:rPr>
        <w:t>POLÍTICA DE</w:t>
        <w:br/>
        <w:t>PREVENCIÓN DEL ACOSO</w:t>
        <w:br/>
        <w:t>LABORAL</w:t>
      </w:r>
    </w:p>
    <w:tbl>
      <w:tblPr>
        <w:tblW w:type="auto" w:w="0"/>
        <w:jc w:val="center"/>
        <w:tblLayout w:type="fixed"/>
        <w:tblLook w:firstColumn="1" w:firstRow="1" w:lastColumn="0" w:lastRow="0" w:noHBand="0" w:noVBand="1" w:val="04A0"/>
      </w:tblPr>
      <w:tblGrid>
        <w:gridCol w:w="5083"/>
        <w:gridCol w:w="5083"/>
      </w:tblGrid>
      <w:tr>
        <w:trPr>
          <w:trHeight w:val="893"/>
        </w:trPr>
        <w:tc>
          <w:tcPr>
            <w:tcW w:type="dxa" w:w="4824"/>
            <w:vAlign w:val="center"/>
            <w:tcBorders>
              <w:top w:val="single" w:sz="12" w:color="70AD47"/>
              <w:left w:val="single" w:sz="12" w:color="70AD47"/>
              <w:bottom w:val="single" w:sz="12" w:color="70AD47"/>
              <w:right w:val="single" w:sz="12" w:color="70AD47"/>
            </w:tcBorders>
            <w:tcMar>
              <w:top w:w="20" w:type="dxa"/>
              <w:start w:w="30" w:type="dxa"/>
              <w:bottom w:w="20" w:type="dxa"/>
              <w:end w:w="30" w:type="dxa"/>
            </w:tcMar>
          </w:tcPr>
          <w:p>
            <w:pPr>
              <w:jc w:val="center"/>
            </w:pPr>
            <w:r>
              <w:drawing>
                <wp:inline xmlns:a="http://schemas.openxmlformats.org/drawingml/2006/main" xmlns:pic="http://schemas.openxmlformats.org/drawingml/2006/picture">
                  <wp:extent cx="1173834" cy="685800"/>
                  <wp:docPr id="2" name="Picture 2"/>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1173834" cy="685800"/>
                          </a:xfrm>
                          <a:prstGeom prst="rect"/>
                        </pic:spPr>
                      </pic:pic>
                    </a:graphicData>
                  </a:graphic>
                </wp:inline>
              </w:drawing>
            </w:r>
          </w:p>
        </w:tc>
        <w:tc>
          <w:tcPr>
            <w:tcW w:type="dxa" w:w="4824"/>
            <w:vAlign w:val="center"/>
            <w:tcBorders>
              <w:top w:val="single" w:sz="12" w:color="70AD47"/>
              <w:left w:val="single" w:sz="12" w:color="70AD47"/>
              <w:bottom w:val="single" w:sz="12" w:color="70AD47"/>
              <w:right w:val="single" w:sz="12" w:color="70AD47"/>
            </w:tcBorders>
            <w:tcMar>
              <w:top w:w="20" w:type="dxa"/>
              <w:start w:w="30" w:type="dxa"/>
              <w:bottom w:w="20" w:type="dxa"/>
              <w:end w:w="30" w:type="dxa"/>
            </w:tcMar>
          </w:tcPr>
          <w:p>
            <w:pPr>
              <w:jc w:val="center"/>
            </w:pPr>
            <w:r>
              <w:drawing>
                <wp:inline xmlns:a="http://schemas.openxmlformats.org/drawingml/2006/main" xmlns:pic="http://schemas.openxmlformats.org/drawingml/2006/picture">
                  <wp:extent cx="562382" cy="731520"/>
                  <wp:docPr id="3" name="Picture 3"/>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2382" cy="731520"/>
                          </a:xfrm>
                          <a:prstGeom prst="rect"/>
                        </pic:spPr>
                      </pic:pic>
                    </a:graphicData>
                  </a:graphic>
                </wp:inline>
              </w:drawing>
            </w:r>
          </w:p>
        </w:tc>
      </w:tr>
      <w:tr>
        <w:trPr>
          <w:trHeight w:val="893"/>
        </w:trPr>
        <w:tc>
          <w:tcPr>
            <w:tcW w:type="dxa" w:w="4824"/>
            <w:vAlign w:val="center"/>
            <w:tcBorders>
              <w:top w:val="single" w:sz="12" w:color="70AD47"/>
              <w:left w:val="single" w:sz="12" w:color="70AD47"/>
              <w:bottom w:val="single" w:sz="12" w:color="70AD47"/>
              <w:right w:val="single" w:sz="12" w:color="70AD47"/>
            </w:tcBorders>
            <w:tcMar>
              <w:top w:w="20" w:type="dxa"/>
              <w:start w:w="30" w:type="dxa"/>
              <w:bottom w:w="20" w:type="dxa"/>
              <w:end w:w="30" w:type="dxa"/>
            </w:tcMar>
            <w:shd w:fill="C6E0B4"/>
          </w:tcPr>
          <w:p>
            <w:pPr>
              <w:jc w:val="center"/>
            </w:pPr>
            <w:r>
              <w:rPr>
                <w:rFonts w:ascii="Arial" w:hAnsi="Arial" w:eastAsia="Arial"/>
                <w:b/>
                <w:i w:val="0"/>
                <w:sz w:val="21"/>
              </w:rPr>
              <w:t>REALIZADO POR:</w:t>
              <w:br/>
            </w:r>
            <w:r>
              <w:rPr>
                <w:rFonts w:ascii="Arial" w:hAnsi="Arial" w:eastAsia="Arial"/>
                <w:b/>
                <w:i w:val="0"/>
                <w:sz w:val="21"/>
              </w:rPr>
              <w:t>YURLAY CASAÑAS PEREZ</w:t>
              <w:br/>
            </w:r>
            <w:r>
              <w:rPr>
                <w:rFonts w:ascii="Arial" w:hAnsi="Arial" w:eastAsia="Arial"/>
                <w:b w:val="0"/>
                <w:i w:val="0"/>
                <w:sz w:val="21"/>
              </w:rPr>
              <w:t>COORDINADOR RH</w:t>
            </w:r>
          </w:p>
        </w:tc>
        <w:tc>
          <w:tcPr>
            <w:tcW w:type="dxa" w:w="4824"/>
            <w:vAlign w:val="center"/>
            <w:tcBorders>
              <w:top w:val="single" w:sz="12" w:color="70AD47"/>
              <w:left w:val="single" w:sz="12" w:color="70AD47"/>
              <w:bottom w:val="single" w:sz="12" w:color="70AD47"/>
              <w:right w:val="single" w:sz="12" w:color="70AD47"/>
            </w:tcBorders>
            <w:tcMar>
              <w:top w:w="20" w:type="dxa"/>
              <w:start w:w="30" w:type="dxa"/>
              <w:bottom w:w="20" w:type="dxa"/>
              <w:end w:w="30" w:type="dxa"/>
            </w:tcMar>
            <w:shd w:fill="C6E0B4"/>
          </w:tcPr>
          <w:p>
            <w:pPr>
              <w:jc w:val="center"/>
            </w:pPr>
            <w:r>
              <w:rPr>
                <w:rFonts w:ascii="Arial" w:hAnsi="Arial" w:eastAsia="Arial"/>
                <w:b/>
                <w:i w:val="0"/>
                <w:sz w:val="21"/>
              </w:rPr>
              <w:t>APROBADO POR:</w:t>
              <w:br/>
            </w:r>
            <w:r>
              <w:rPr>
                <w:rFonts w:ascii="Arial" w:hAnsi="Arial" w:eastAsia="Arial"/>
                <w:b/>
                <w:i w:val="0"/>
                <w:sz w:val="21"/>
              </w:rPr>
              <w:t>Ing. Tobías Beltrán Ávila</w:t>
              <w:br/>
            </w:r>
            <w:r>
              <w:rPr>
                <w:rFonts w:ascii="Arial" w:hAnsi="Arial" w:eastAsia="Arial"/>
                <w:b w:val="0"/>
                <w:i w:val="0"/>
                <w:sz w:val="21"/>
              </w:rPr>
              <w:t>Representante Legal</w:t>
            </w:r>
          </w:p>
        </w:tc>
      </w:tr>
    </w:tbl>
    <w:p>
      <w:pPr>
        <w:widowControl w:val="1"/>
      </w:pPr>
      <w:r>
        <w:br w:type="page"/>
      </w:r>
    </w:p>
    <w:p>
      <w:pPr>
        <w:keepNext/>
        <w:spacing w:before="160" w:after="100" w:line="240" w:lineRule="auto"/>
        <w:jc w:val="center"/>
        <w:widowControl w:val="1"/>
      </w:pPr>
      <w:r>
        <w:rPr>
          <w:rFonts w:ascii="Arial" w:hAnsi="Arial" w:eastAsia="Arial"/>
          <w:b/>
          <w:i w:val="0"/>
          <w:sz w:val="23"/>
        </w:rPr>
        <w:t>1. DECLARACIÓN DE LA ALTA DIRECCIÓN</w:t>
      </w:r>
    </w:p>
    <w:p>
      <w:pPr>
        <w:keepNext w:val="0"/>
        <w:spacing w:before="0" w:after="60" w:line="240" w:lineRule="auto"/>
        <w:jc w:val="both"/>
        <w:widowControl w:val="1"/>
      </w:pPr>
      <w:r>
        <w:rPr>
          <w:rFonts w:ascii="Arial" w:hAnsi="Arial" w:eastAsia="Arial"/>
          <w:b w:val="0"/>
          <w:i w:val="0"/>
          <w:sz w:val="22"/>
        </w:rPr>
        <w:t>CODEMAK S.A.S., comprometida con el respeto por la dignidad humana, el trabajo decente, la igualdad de oportunidades, la convivencia laboral, la salud mental y la protección de los derechos fundamentales de todas las personas que desarrollan actividades dentro de la organización, adopta la presente Política de Prevención del Acoso Laboral como parte integral del Sistema Integrado de Gestión, del Sistema de Gestión de Seguridad y Salud en el Trabajo (SG-SST), del Reglamento Interno de Trabajo y de las demás políticas corporativas vigentes.</w:t>
      </w:r>
    </w:p>
    <w:p>
      <w:pPr>
        <w:keepNext w:val="0"/>
        <w:spacing w:before="0" w:after="60" w:line="240" w:lineRule="auto"/>
        <w:jc w:val="both"/>
        <w:widowControl w:val="1"/>
      </w:pPr>
      <w:r>
        <w:rPr>
          <w:rFonts w:ascii="Arial" w:hAnsi="Arial" w:eastAsia="Arial"/>
          <w:b w:val="0"/>
          <w:i w:val="0"/>
          <w:sz w:val="22"/>
        </w:rPr>
        <w:t>La Empresa declara CERO TOLERANCIA frente a cualquier conducta constitutiva de acoso laboral, intimidación, hostigamiento, persecución, discriminación, maltrato, humillación o actuación que afecte la dignidad, la integridad física, psicológica, moral o profesional de las personas en el contexto laboral.</w:t>
      </w:r>
    </w:p>
    <w:p>
      <w:pPr>
        <w:keepNext w:val="0"/>
        <w:spacing w:before="0" w:after="60" w:line="240" w:lineRule="auto"/>
        <w:jc w:val="both"/>
        <w:widowControl w:val="1"/>
      </w:pPr>
      <w:r>
        <w:rPr>
          <w:rFonts w:ascii="Arial" w:hAnsi="Arial" w:eastAsia="Arial"/>
          <w:b w:val="0"/>
          <w:i w:val="0"/>
          <w:sz w:val="22"/>
        </w:rPr>
        <w:t>Ninguna persona, independientemente de su cargo, nivel jerárquico, modalidad de vinculación, antigüedad, edad, sexo, género, orientación sexual, identidad de género, origen étnico o nacional, condición social o familiar, discapacidad, estado de salud, religión, ideología, opinión política o cualquier otra condición protegida por la Constitución y la ley, podrá ser objeto de conductas de acoso laboral.</w:t>
      </w:r>
    </w:p>
    <w:p>
      <w:pPr>
        <w:keepNext w:val="0"/>
        <w:spacing w:before="0" w:after="60" w:line="240" w:lineRule="auto"/>
        <w:jc w:val="both"/>
        <w:widowControl w:val="1"/>
      </w:pPr>
      <w:r>
        <w:rPr>
          <w:rFonts w:ascii="Arial" w:hAnsi="Arial" w:eastAsia="Arial"/>
          <w:b w:val="0"/>
          <w:i w:val="0"/>
          <w:sz w:val="22"/>
        </w:rPr>
        <w:t>CODEMAK S.A.S. promoverá permanentemente ambientes de trabajo seguros, saludables, respetuosos, inclusivos y libres de violencia y discriminación, fortaleciendo una cultura organizacional basada en el respeto mutuo, la buena fe, la comunicación asertiva, el liderazgo responsable, la prevención de conflictos y la solución pacífica de las diferencias.</w:t>
      </w:r>
    </w:p>
    <w:p>
      <w:pPr>
        <w:keepNext w:val="0"/>
        <w:spacing w:before="0" w:after="60" w:line="240" w:lineRule="auto"/>
        <w:jc w:val="both"/>
        <w:widowControl w:val="1"/>
      </w:pPr>
      <w:r>
        <w:rPr>
          <w:rFonts w:ascii="Arial" w:hAnsi="Arial" w:eastAsia="Arial"/>
          <w:b w:val="0"/>
          <w:i w:val="0"/>
          <w:sz w:val="22"/>
        </w:rPr>
        <w:t>Toda queja o reporte será gestionado bajo los principios de imparcialidad, confidencialidad, celeridad, objetividad, debido proceso, protección de datos personales, no revictimización y prohibición de represalias, respetando las competencias del Comité de Convivencia Laboral, de las áreas internas y de las autoridades legalmente facultadas.</w:t>
      </w:r>
    </w:p>
    <w:p>
      <w:pPr>
        <w:keepNext/>
        <w:spacing w:before="160" w:after="100" w:line="240" w:lineRule="auto"/>
        <w:jc w:val="center"/>
        <w:widowControl w:val="1"/>
      </w:pPr>
      <w:r>
        <w:rPr>
          <w:rFonts w:ascii="Arial" w:hAnsi="Arial" w:eastAsia="Arial"/>
          <w:b/>
          <w:i w:val="0"/>
          <w:sz w:val="23"/>
        </w:rPr>
        <w:t>2. OBJETIVO GENERAL</w:t>
      </w:r>
    </w:p>
    <w:p>
      <w:pPr>
        <w:keepNext w:val="0"/>
        <w:spacing w:before="0" w:after="60" w:line="240" w:lineRule="auto"/>
        <w:jc w:val="both"/>
        <w:widowControl w:val="1"/>
      </w:pPr>
      <w:r>
        <w:rPr>
          <w:rFonts w:ascii="Arial" w:hAnsi="Arial" w:eastAsia="Arial"/>
          <w:b w:val="0"/>
          <w:i w:val="0"/>
          <w:sz w:val="22"/>
        </w:rPr>
        <w:t>Establecer los lineamientos institucionales para prevenir, identificar, recibir, atender preventivamente, orientar, canalizar y realizar seguimiento oportuno a las situaciones que puedan afectar la convivencia laboral o constituir presunto acoso laboral en CODEMAK S.A.S., promoviendo una cultura organizacional basada en el respeto por la dignidad humana, la salud mental, el bienestar integral y el cumplimiento de la legislación laboral colombiana.</w:t>
      </w:r>
    </w:p>
    <w:p>
      <w:pPr>
        <w:keepNext w:val="0"/>
        <w:spacing w:before="0" w:after="60" w:line="240" w:lineRule="auto"/>
        <w:jc w:val="both"/>
        <w:widowControl w:val="1"/>
      </w:pPr>
      <w:r>
        <w:rPr>
          <w:rFonts w:ascii="Arial" w:hAnsi="Arial" w:eastAsia="Arial"/>
          <w:b w:val="0"/>
          <w:i w:val="0"/>
          <w:sz w:val="22"/>
        </w:rPr>
        <w:t>La presente política se aplicará sin perjuicio de las investigaciones disciplinarias, administrativas o judiciales que deban adelantar las instancias internas o autoridades legalmente competentes.</w:t>
      </w:r>
    </w:p>
    <w:p>
      <w:pPr>
        <w:keepNext/>
        <w:spacing w:before="160" w:after="100" w:line="240" w:lineRule="auto"/>
        <w:jc w:val="center"/>
        <w:widowControl w:val="1"/>
      </w:pPr>
      <w:r>
        <w:rPr>
          <w:rFonts w:ascii="Arial" w:hAnsi="Arial" w:eastAsia="Arial"/>
          <w:b/>
          <w:i w:val="0"/>
          <w:sz w:val="23"/>
        </w:rPr>
        <w:t>3. OBJETIVOS ESPECÍFICOS</w:t>
      </w:r>
    </w:p>
    <w:p>
      <w:pPr>
        <w:keepNext w:val="0"/>
        <w:spacing w:before="0" w:after="40" w:line="240" w:lineRule="auto"/>
        <w:ind w:left="360" w:hanging="360"/>
        <w:jc w:val="both"/>
        <w:widowControl w:val="1"/>
      </w:pPr>
      <w:r>
        <w:rPr>
          <w:rFonts w:ascii="Arial" w:hAnsi="Arial" w:eastAsia="Arial"/>
          <w:b/>
          <w:i w:val="0"/>
          <w:sz w:val="22"/>
        </w:rPr>
        <w:t xml:space="preserve">a. </w:t>
      </w:r>
      <w:r>
        <w:rPr>
          <w:rFonts w:ascii="Arial" w:hAnsi="Arial" w:eastAsia="Arial"/>
          <w:b w:val="0"/>
          <w:i w:val="0"/>
          <w:sz w:val="22"/>
        </w:rPr>
        <w:t>Promover ambientes laborales seguros, respetuosos y libres de acoso, violencia y discriminación.</w:t>
      </w:r>
    </w:p>
    <w:p>
      <w:pPr>
        <w:keepNext w:val="0"/>
        <w:spacing w:before="0" w:after="40" w:line="240" w:lineRule="auto"/>
        <w:ind w:left="360" w:hanging="360"/>
        <w:jc w:val="both"/>
        <w:widowControl w:val="1"/>
      </w:pPr>
      <w:r>
        <w:rPr>
          <w:rFonts w:ascii="Arial" w:hAnsi="Arial" w:eastAsia="Arial"/>
          <w:b/>
          <w:i w:val="0"/>
          <w:sz w:val="22"/>
        </w:rPr>
        <w:t xml:space="preserve">b. </w:t>
      </w:r>
      <w:r>
        <w:rPr>
          <w:rFonts w:ascii="Arial" w:hAnsi="Arial" w:eastAsia="Arial"/>
          <w:b w:val="0"/>
          <w:i w:val="0"/>
          <w:sz w:val="22"/>
        </w:rPr>
        <w:t>Fomentar relaciones laborales basadas en el respeto, la igualdad, la inclusión, la cooperación y la comunicación asertiva.</w:t>
      </w:r>
    </w:p>
    <w:p>
      <w:pPr>
        <w:keepNext w:val="0"/>
        <w:spacing w:before="0" w:after="40" w:line="240" w:lineRule="auto"/>
        <w:ind w:left="360" w:hanging="360"/>
        <w:jc w:val="both"/>
        <w:widowControl w:val="1"/>
      </w:pPr>
      <w:r>
        <w:rPr>
          <w:rFonts w:ascii="Arial" w:hAnsi="Arial" w:eastAsia="Arial"/>
          <w:b/>
          <w:i w:val="0"/>
          <w:sz w:val="22"/>
        </w:rPr>
        <w:t xml:space="preserve">c. </w:t>
      </w:r>
      <w:r>
        <w:rPr>
          <w:rFonts w:ascii="Arial" w:hAnsi="Arial" w:eastAsia="Arial"/>
          <w:b w:val="0"/>
          <w:i w:val="0"/>
          <w:sz w:val="22"/>
        </w:rPr>
        <w:t>Prevenir la ocurrencia de conductas constitutivas de acoso laboral mediante actividades permanentes de información, sensibilización, capacitación e intervención de factores de riesgo psicosocial.</w:t>
      </w:r>
    </w:p>
    <w:p>
      <w:pPr>
        <w:keepNext w:val="0"/>
        <w:spacing w:before="0" w:after="40" w:line="240" w:lineRule="auto"/>
        <w:ind w:left="360" w:hanging="360"/>
        <w:jc w:val="both"/>
        <w:widowControl w:val="1"/>
      </w:pPr>
      <w:r>
        <w:rPr>
          <w:rFonts w:ascii="Arial" w:hAnsi="Arial" w:eastAsia="Arial"/>
          <w:b/>
          <w:i w:val="0"/>
          <w:sz w:val="22"/>
        </w:rPr>
        <w:t xml:space="preserve">d. </w:t>
      </w:r>
      <w:r>
        <w:rPr>
          <w:rFonts w:ascii="Arial" w:hAnsi="Arial" w:eastAsia="Arial"/>
          <w:b w:val="0"/>
          <w:i w:val="0"/>
          <w:sz w:val="22"/>
        </w:rPr>
        <w:t>Establecer mecanismos claros, confidenciales, accesibles y oportunos para la presentación, recepción, atención preventiva y seguimiento de las quejas.</w:t>
      </w:r>
    </w:p>
    <w:p>
      <w:pPr>
        <w:keepNext w:val="0"/>
        <w:spacing w:before="0" w:after="40" w:line="240" w:lineRule="auto"/>
        <w:ind w:left="360" w:hanging="360"/>
        <w:jc w:val="both"/>
        <w:widowControl w:val="1"/>
      </w:pPr>
      <w:r>
        <w:rPr>
          <w:rFonts w:ascii="Arial" w:hAnsi="Arial" w:eastAsia="Arial"/>
          <w:b/>
          <w:i w:val="0"/>
          <w:sz w:val="22"/>
        </w:rPr>
        <w:t xml:space="preserve">e. </w:t>
      </w:r>
      <w:r>
        <w:rPr>
          <w:rFonts w:ascii="Arial" w:hAnsi="Arial" w:eastAsia="Arial"/>
          <w:b w:val="0"/>
          <w:i w:val="0"/>
          <w:sz w:val="22"/>
        </w:rPr>
        <w:t>Delimitar la naturaleza, alcance, funciones y restricciones del Comité de Convivencia Laboral.</w:t>
      </w:r>
    </w:p>
    <w:p>
      <w:pPr>
        <w:keepNext w:val="0"/>
        <w:spacing w:before="0" w:after="40" w:line="240" w:lineRule="auto"/>
        <w:ind w:left="360" w:hanging="360"/>
        <w:jc w:val="both"/>
        <w:widowControl w:val="1"/>
      </w:pPr>
      <w:r>
        <w:rPr>
          <w:rFonts w:ascii="Arial" w:hAnsi="Arial" w:eastAsia="Arial"/>
          <w:b/>
          <w:i w:val="0"/>
          <w:sz w:val="22"/>
        </w:rPr>
        <w:t xml:space="preserve">f. </w:t>
      </w:r>
      <w:r>
        <w:rPr>
          <w:rFonts w:ascii="Arial" w:hAnsi="Arial" w:eastAsia="Arial"/>
          <w:b w:val="0"/>
          <w:i w:val="0"/>
          <w:sz w:val="22"/>
        </w:rPr>
        <w:t>Garantizar el debido proceso, el derecho de defensa, la imparcialidad y la presunción de inocencia de las personas involucradas.</w:t>
      </w:r>
    </w:p>
    <w:p>
      <w:pPr>
        <w:keepNext w:val="0"/>
        <w:spacing w:before="0" w:after="40" w:line="240" w:lineRule="auto"/>
        <w:ind w:left="360" w:hanging="360"/>
        <w:jc w:val="both"/>
        <w:widowControl w:val="1"/>
      </w:pPr>
      <w:r>
        <w:rPr>
          <w:rFonts w:ascii="Arial" w:hAnsi="Arial" w:eastAsia="Arial"/>
          <w:b/>
          <w:i w:val="0"/>
          <w:sz w:val="22"/>
        </w:rPr>
        <w:t xml:space="preserve">g. </w:t>
      </w:r>
      <w:r>
        <w:rPr>
          <w:rFonts w:ascii="Arial" w:hAnsi="Arial" w:eastAsia="Arial"/>
          <w:b w:val="0"/>
          <w:i w:val="0"/>
          <w:sz w:val="22"/>
        </w:rPr>
        <w:t>Proteger la salud física y mental de los trabajadores y adoptar medidas para evitar la repetición de situaciones que afecten la convivencia laboral.</w:t>
      </w:r>
    </w:p>
    <w:p>
      <w:pPr>
        <w:keepNext w:val="0"/>
        <w:spacing w:before="0" w:after="40" w:line="240" w:lineRule="auto"/>
        <w:ind w:left="360" w:hanging="360"/>
        <w:jc w:val="both"/>
        <w:widowControl w:val="1"/>
      </w:pPr>
      <w:r>
        <w:rPr>
          <w:rFonts w:ascii="Arial" w:hAnsi="Arial" w:eastAsia="Arial"/>
          <w:b/>
          <w:i w:val="0"/>
          <w:sz w:val="22"/>
        </w:rPr>
        <w:t xml:space="preserve">h. </w:t>
      </w:r>
      <w:r>
        <w:rPr>
          <w:rFonts w:ascii="Arial" w:hAnsi="Arial" w:eastAsia="Arial"/>
          <w:b w:val="0"/>
          <w:i w:val="0"/>
          <w:sz w:val="22"/>
        </w:rPr>
        <w:t>Prohibir y prevenir cualquier forma de represalia contra quien presente una queja de buena fe, participe como testigo o colabore en una actuación interna.</w:t>
      </w:r>
    </w:p>
    <w:p>
      <w:pPr>
        <w:keepNext w:val="0"/>
        <w:spacing w:before="0" w:after="40" w:line="240" w:lineRule="auto"/>
        <w:ind w:left="360" w:hanging="360"/>
        <w:jc w:val="both"/>
        <w:widowControl w:val="1"/>
      </w:pPr>
      <w:r>
        <w:rPr>
          <w:rFonts w:ascii="Arial" w:hAnsi="Arial" w:eastAsia="Arial"/>
          <w:b/>
          <w:i w:val="0"/>
          <w:sz w:val="22"/>
        </w:rPr>
        <w:t xml:space="preserve">i. </w:t>
      </w:r>
      <w:r>
        <w:rPr>
          <w:rFonts w:ascii="Arial" w:hAnsi="Arial" w:eastAsia="Arial"/>
          <w:b w:val="0"/>
          <w:i w:val="0"/>
          <w:sz w:val="22"/>
        </w:rPr>
        <w:t>Articular la presente política con el SG-SST, el Reglamento Interno de Trabajo, el Comité de Convivencia Laboral y los procedimientos internos de CODEMAK S.A.S.</w:t>
      </w:r>
    </w:p>
    <w:p>
      <w:pPr>
        <w:keepNext w:val="0"/>
        <w:spacing w:before="0" w:after="40" w:line="240" w:lineRule="auto"/>
        <w:ind w:left="360" w:hanging="360"/>
        <w:jc w:val="both"/>
        <w:widowControl w:val="1"/>
      </w:pPr>
      <w:r>
        <w:rPr>
          <w:rFonts w:ascii="Arial" w:hAnsi="Arial" w:eastAsia="Arial"/>
          <w:b/>
          <w:i w:val="0"/>
          <w:sz w:val="22"/>
        </w:rPr>
        <w:t xml:space="preserve">j. </w:t>
      </w:r>
      <w:r>
        <w:rPr>
          <w:rFonts w:ascii="Arial" w:hAnsi="Arial" w:eastAsia="Arial"/>
          <w:b w:val="0"/>
          <w:i w:val="0"/>
          <w:sz w:val="22"/>
        </w:rPr>
        <w:t>Mantener evidencia verificable de la implementación, divulgación, capacitación, funcionamiento del Comité y acciones de mejora.</w:t>
      </w:r>
    </w:p>
    <w:p>
      <w:pPr>
        <w:keepNext/>
        <w:spacing w:before="160" w:after="100" w:line="240" w:lineRule="auto"/>
        <w:jc w:val="center"/>
        <w:widowControl w:val="1"/>
      </w:pPr>
      <w:r>
        <w:rPr>
          <w:rFonts w:ascii="Arial" w:hAnsi="Arial" w:eastAsia="Arial"/>
          <w:b/>
          <w:i w:val="0"/>
          <w:sz w:val="23"/>
        </w:rPr>
        <w:t>4. ALCANCE</w:t>
      </w:r>
    </w:p>
    <w:p>
      <w:pPr>
        <w:keepNext w:val="0"/>
        <w:spacing w:before="0" w:after="60" w:line="240" w:lineRule="auto"/>
        <w:jc w:val="both"/>
        <w:widowControl w:val="1"/>
      </w:pPr>
      <w:r>
        <w:rPr>
          <w:rFonts w:ascii="Arial" w:hAnsi="Arial" w:eastAsia="Arial"/>
          <w:b w:val="0"/>
          <w:i w:val="0"/>
          <w:sz w:val="22"/>
        </w:rPr>
        <w:t>La presente política aplica a todas las personas que desarrollen actividades, presten servicios, ejecuten funciones o interactúen dentro del entorno laboral de CODEMAK S.A.S., independientemente de la modalidad de vinculación, contratación o prestación del servicio, dentro del ámbito permitido por la legislación vigente.</w:t>
      </w:r>
    </w:p>
    <w:p>
      <w:pPr>
        <w:keepNext w:val="0"/>
        <w:spacing w:before="0" w:after="60" w:line="240" w:lineRule="auto"/>
        <w:jc w:val="both"/>
        <w:widowControl w:val="1"/>
      </w:pPr>
      <w:r>
        <w:rPr>
          <w:rFonts w:ascii="Arial" w:hAnsi="Arial" w:eastAsia="Arial"/>
          <w:b w:val="0"/>
          <w:i w:val="0"/>
          <w:sz w:val="22"/>
        </w:rPr>
        <w:t>Su ámbito personal comprende, entre otros: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Trabajadores vinculados mediante contrato de trabajo, incluido el personal en período de prueba.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Aprendices, practicantes, pasantes, estudiantes en formación y trabajadores en misión.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Teletrabajadores, trabajadores remotos y trabajadores habilitados para trabajo en casa.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Personal administrativo, profesional, técnico, operativo y de dirección.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Directivos, gerentes, coordinadores, supervisores, directores y residentes de obra.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Contratistas, trabajadores independientes, subcontratistas, consultores, proveedores y personal suministrado por terceros.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Visitantes y clientes cuando interactúen con trabajadores o personal vinculado a la organización.</w:t>
      </w:r>
    </w:p>
    <w:p>
      <w:pPr>
        <w:keepNext w:val="0"/>
        <w:spacing w:before="0" w:after="60" w:line="240" w:lineRule="auto"/>
        <w:jc w:val="both"/>
        <w:widowControl w:val="1"/>
      </w:pPr>
      <w:r>
        <w:rPr>
          <w:rFonts w:ascii="Arial" w:hAnsi="Arial" w:eastAsia="Arial"/>
          <w:b w:val="0"/>
          <w:i w:val="0"/>
          <w:sz w:val="22"/>
        </w:rPr>
        <w:t>La política será aplicable en todos los espacios relacionados con el trabajo, incluidos: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Sede administrativa, oficinas, bodegas, talleres y demás centros de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Obras civiles, frentes de trabajo, campamentos y lugares de ejecución de proyectos.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Vehículos y medios de transporte suministrados, contratados o autorizados por la Empresa.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Reuniones, capacitaciones, actividades de bienestar y eventos institucionales.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Desplazamientos, viajes, comisiones y alojamientos relacionados con 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Teletrabajo, trabajo remoto, trabajo en casa y demás modalidades autorizadas.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Comunicaciones efectuadas mediante correo electrónico, llamadas, plataformas digitales, redes corporativas, videoconferencias y aplicaciones de mensajería utilizadas con ocasión del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Cualquier otro espacio físico o virtual en el que se desarrollen relaciones derivadas o relacionadas con la actividad laboral.</w:t>
      </w:r>
    </w:p>
    <w:p>
      <w:pPr>
        <w:keepNext w:val="0"/>
        <w:spacing w:before="0" w:after="60" w:line="240" w:lineRule="auto"/>
        <w:jc w:val="both"/>
        <w:widowControl w:val="1"/>
      </w:pPr>
      <w:r>
        <w:rPr>
          <w:rFonts w:ascii="Arial" w:hAnsi="Arial" w:eastAsia="Arial"/>
          <w:b w:val="0"/>
          <w:i w:val="0"/>
          <w:sz w:val="22"/>
        </w:rPr>
        <w:t>La inclusión de contratistas, proveedores, clientes y terceros dentro del alcance preventivo de esta política no modifica la naturaleza jurídica de su vínculo con CODEMAK S.A.S. La competencia del Comité de Convivencia Laboral se determinará en cada caso de acuerdo con la vinculación de las personas involucradas, el lugar de ocurrencia de los hechos y la normatividad vigente.</w:t>
      </w:r>
    </w:p>
    <w:p>
      <w:pPr>
        <w:keepNext w:val="0"/>
        <w:spacing w:before="0" w:after="60" w:line="240" w:lineRule="auto"/>
        <w:jc w:val="both"/>
        <w:widowControl w:val="1"/>
      </w:pPr>
      <w:r>
        <w:rPr>
          <w:rFonts w:ascii="Arial" w:hAnsi="Arial" w:eastAsia="Arial"/>
          <w:b w:val="0"/>
          <w:i w:val="0"/>
          <w:sz w:val="22"/>
        </w:rPr>
        <w:t>Cuando se trate de trabajadores en misión, la gestión de la queja se coordinará con la empresa de servicios temporales y la empresa usuaria, conforme al ámbito de competencia definido por la Resolución 3461 de 2025.</w:t>
      </w:r>
    </w:p>
    <w:p>
      <w:pPr>
        <w:keepNext/>
        <w:spacing w:before="160" w:after="100" w:line="240" w:lineRule="auto"/>
        <w:jc w:val="center"/>
        <w:widowControl w:val="1"/>
      </w:pPr>
      <w:r>
        <w:rPr>
          <w:rFonts w:ascii="Arial" w:hAnsi="Arial" w:eastAsia="Arial"/>
          <w:b/>
          <w:i w:val="0"/>
          <w:sz w:val="23"/>
        </w:rPr>
        <w:t>5. MARCO NORMATIVO</w:t>
      </w:r>
    </w:p>
    <w:p>
      <w:pPr>
        <w:keepNext w:val="0"/>
        <w:spacing w:before="0" w:after="60" w:line="240" w:lineRule="auto"/>
        <w:jc w:val="both"/>
        <w:widowControl w:val="1"/>
      </w:pPr>
      <w:r>
        <w:rPr>
          <w:rFonts w:ascii="Arial" w:hAnsi="Arial" w:eastAsia="Arial"/>
          <w:b w:val="0"/>
          <w:i w:val="0"/>
          <w:sz w:val="22"/>
        </w:rPr>
        <w:t>La presente política se fundamenta principalmente en las siguientes disposiciones, sin perjuicio de las normas que las modifiquen, adicionen, sustituyan o reglamenten:</w:t>
      </w:r>
    </w:p>
    <w:p>
      <w:pPr>
        <w:keepNext/>
        <w:spacing w:before="100" w:after="60" w:line="240" w:lineRule="auto"/>
        <w:jc w:val="left"/>
        <w:widowControl w:val="1"/>
      </w:pPr>
      <w:r>
        <w:rPr>
          <w:rFonts w:ascii="Arial" w:hAnsi="Arial" w:eastAsia="Arial"/>
          <w:b/>
          <w:i w:val="0"/>
          <w:sz w:val="22"/>
        </w:rPr>
        <w:t>5.1. Normatividad constitucional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Constitución Política de Colombia, especialmente los artículos 1, 2, 5, 13, 15, 16, 21, 25, 29, 43, 53, 93 y 95.</w:t>
      </w:r>
    </w:p>
    <w:p>
      <w:pPr>
        <w:keepNext/>
        <w:spacing w:before="100" w:after="60" w:line="240" w:lineRule="auto"/>
        <w:jc w:val="left"/>
        <w:widowControl w:val="1"/>
      </w:pPr>
      <w:r>
        <w:rPr>
          <w:rFonts w:ascii="Arial" w:hAnsi="Arial" w:eastAsia="Arial"/>
          <w:b/>
          <w:i w:val="0"/>
          <w:sz w:val="22"/>
        </w:rPr>
        <w:t>5.2. Normatividad legal y reglamentaria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Código Sustantivo del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1010 de 2006, por medio de la cual se adoptan medidas para prevenir, corregir y sancionar el acoso laboral y otros hostigamientos en el marco de las relaciones de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1257 de 2008, en lo pertinente a la prevención de las violencias contra las mujeres.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1581 de 2012 y sus normas reglamentarias, sobre protección de datos personales.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2209 de 2022, por medio de la cual se modifica el término de caducidad de las acciones derivadas del acoso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2466 de 2025, especialmente las disposiciones sobre eliminación de la violencia, el acoso y la discriminación en el mundo del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Ley 2528 de 2025, por medio de la cual se aprueba el Convenio 190 de la Organización Internacional del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Decreto Único Reglamentario 1072 de 2015.</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Resolución 2646 de 2008, en lo relacionado con la identificación, evaluación, prevención e intervención de los factores de riesgo psicosocial y las medidas preventivas y correctivas del acoso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Resolución 0312 de 2019, sobre estándares mínimos del Sistema de Gestión de Seguridad y Salud en el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Resolución 2764 de 2022, sobre instrumentos para la evaluación e intervención de los factores de riesgo psicosocial.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Resolución 3461 de 2025 del Ministerio del Trabajo, sobre conformación y funcionamiento del Comité de Convivencia Laboral y responsabilidades frente a las medidas preventivas y correctivas del acoso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Convenio 190 de la Organización Internacional del Trabajo y Recomendación 206.</w:t>
      </w:r>
    </w:p>
    <w:p>
      <w:pPr>
        <w:keepNext/>
        <w:spacing w:before="100" w:after="60" w:line="240" w:lineRule="auto"/>
        <w:jc w:val="left"/>
        <w:widowControl w:val="1"/>
      </w:pPr>
      <w:r>
        <w:rPr>
          <w:rFonts w:ascii="Arial" w:hAnsi="Arial" w:eastAsia="Arial"/>
          <w:b/>
          <w:i w:val="0"/>
          <w:sz w:val="22"/>
        </w:rPr>
        <w:t>5.3. Normas complementarias para la delimitación con el acoso sexual</w:t>
      </w:r>
    </w:p>
    <w:p>
      <w:pPr>
        <w:keepNext w:val="0"/>
        <w:spacing w:before="0" w:after="60" w:line="240" w:lineRule="auto"/>
        <w:jc w:val="both"/>
        <w:widowControl w:val="1"/>
      </w:pPr>
      <w:r>
        <w:rPr>
          <w:rFonts w:ascii="Arial" w:hAnsi="Arial" w:eastAsia="Arial"/>
          <w:b w:val="0"/>
          <w:i w:val="0"/>
          <w:sz w:val="22"/>
        </w:rPr>
        <w:t>La Ley 2365 de 2024, el Decreto 720 de 2026 y la Circular 0076 del Ministerio del Trabajo se tendrán en cuenta exclusivamente para delimitar el tratamiento independiente del acoso sexual en el contexto laboral, materia que se regirá por la política y el procedimiento especial adoptados por CODEMAK S.A.S.</w:t>
      </w:r>
    </w:p>
    <w:p>
      <w:pPr>
        <w:keepNext/>
        <w:spacing w:before="160" w:after="100" w:line="240" w:lineRule="auto"/>
        <w:jc w:val="center"/>
        <w:widowControl w:val="1"/>
      </w:pPr>
      <w:r>
        <w:rPr>
          <w:rFonts w:ascii="Arial" w:hAnsi="Arial" w:eastAsia="Arial"/>
          <w:b/>
          <w:i w:val="0"/>
          <w:sz w:val="23"/>
        </w:rPr>
        <w:t>6. DEFINICIONES</w:t>
      </w:r>
    </w:p>
    <w:p>
      <w:pPr>
        <w:keepNext w:val="0"/>
        <w:spacing w:before="0" w:after="60" w:line="240" w:lineRule="auto"/>
        <w:jc w:val="both"/>
        <w:widowControl w:val="1"/>
      </w:pPr>
      <w:r>
        <w:rPr>
          <w:rFonts w:ascii="Arial" w:hAnsi="Arial" w:eastAsia="Arial"/>
          <w:b/>
          <w:i w:val="0"/>
          <w:sz w:val="22"/>
        </w:rPr>
        <w:t xml:space="preserve">Acoso laboral: </w:t>
      </w:r>
      <w:r>
        <w:rPr>
          <w:rFonts w:ascii="Arial" w:hAnsi="Arial" w:eastAsia="Arial"/>
          <w:b w:val="0"/>
          <w:i w:val="0"/>
          <w:sz w:val="22"/>
        </w:rPr>
        <w:t>Toda conducta persistente y demostrable ejercida por un empleador, jefe o superior jerárquico, compañero de trabajo, subordinado o persona relacionada con la actividad laboral, encaminada a infundir miedo, intimidación, terror o angustia, causar perjuicio laboral, generar desmotivación, inducir la renuncia o afectar la dignidad de la persona trabajadora. Excepcionalmente, un solo acto hostil podrá ser valorado por la autoridad competente cuando su gravedad y capacidad ofensiva resulten suficientes.</w:t>
      </w:r>
    </w:p>
    <w:p>
      <w:pPr>
        <w:keepNext w:val="0"/>
        <w:spacing w:before="0" w:after="60" w:line="240" w:lineRule="auto"/>
        <w:jc w:val="both"/>
        <w:widowControl w:val="1"/>
      </w:pPr>
      <w:r>
        <w:rPr>
          <w:rFonts w:ascii="Arial" w:hAnsi="Arial" w:eastAsia="Arial"/>
          <w:b/>
          <w:i w:val="0"/>
          <w:sz w:val="22"/>
        </w:rPr>
        <w:t xml:space="preserve">Ambiente laboral: </w:t>
      </w:r>
      <w:r>
        <w:rPr>
          <w:rFonts w:ascii="Arial" w:hAnsi="Arial" w:eastAsia="Arial"/>
          <w:b w:val="0"/>
          <w:i w:val="0"/>
          <w:sz w:val="22"/>
        </w:rPr>
        <w:t>Conjunto de condiciones físicas, sociales, psicológicas, organizacionales y culturales bajo las cuales se desarrolla el trabajo.</w:t>
      </w:r>
    </w:p>
    <w:p>
      <w:pPr>
        <w:keepNext w:val="0"/>
        <w:spacing w:before="0" w:after="60" w:line="240" w:lineRule="auto"/>
        <w:jc w:val="both"/>
        <w:widowControl w:val="1"/>
      </w:pPr>
      <w:r>
        <w:rPr>
          <w:rFonts w:ascii="Arial" w:hAnsi="Arial" w:eastAsia="Arial"/>
          <w:b/>
          <w:i w:val="0"/>
          <w:sz w:val="22"/>
        </w:rPr>
        <w:t xml:space="preserve">Convivencia laboral: </w:t>
      </w:r>
      <w:r>
        <w:rPr>
          <w:rFonts w:ascii="Arial" w:hAnsi="Arial" w:eastAsia="Arial"/>
          <w:b w:val="0"/>
          <w:i w:val="0"/>
          <w:sz w:val="22"/>
        </w:rPr>
        <w:t>Relación armónica basada en el respeto, la comunicación efectiva, la cooperación, la confianza y la resolución pacífica de conflictos.</w:t>
      </w:r>
    </w:p>
    <w:p>
      <w:pPr>
        <w:keepNext w:val="0"/>
        <w:spacing w:before="0" w:after="60" w:line="240" w:lineRule="auto"/>
        <w:jc w:val="both"/>
        <w:widowControl w:val="1"/>
      </w:pPr>
      <w:r>
        <w:rPr>
          <w:rFonts w:ascii="Arial" w:hAnsi="Arial" w:eastAsia="Arial"/>
          <w:b/>
          <w:i w:val="0"/>
          <w:sz w:val="22"/>
        </w:rPr>
        <w:t xml:space="preserve">Queja de presunto acoso laboral: </w:t>
      </w:r>
      <w:r>
        <w:rPr>
          <w:rFonts w:ascii="Arial" w:hAnsi="Arial" w:eastAsia="Arial"/>
          <w:b w:val="0"/>
          <w:i w:val="0"/>
          <w:sz w:val="22"/>
        </w:rPr>
        <w:t>Comunicación mediante la cual una persona pone en conocimiento hechos que considera que pueden constituir acoso laboral y solicita su atención preventiva.</w:t>
      </w:r>
    </w:p>
    <w:p>
      <w:pPr>
        <w:keepNext w:val="0"/>
        <w:spacing w:before="0" w:after="60" w:line="240" w:lineRule="auto"/>
        <w:jc w:val="both"/>
        <w:widowControl w:val="1"/>
      </w:pPr>
      <w:r>
        <w:rPr>
          <w:rFonts w:ascii="Arial" w:hAnsi="Arial" w:eastAsia="Arial"/>
          <w:b/>
          <w:i w:val="0"/>
          <w:sz w:val="22"/>
        </w:rPr>
        <w:t xml:space="preserve">Persona que presenta la queja: </w:t>
      </w:r>
      <w:r>
        <w:rPr>
          <w:rFonts w:ascii="Arial" w:hAnsi="Arial" w:eastAsia="Arial"/>
          <w:b w:val="0"/>
          <w:i w:val="0"/>
          <w:sz w:val="22"/>
        </w:rPr>
        <w:t>Persona que comunica hechos que considera constitutivos de presunto acoso laboral, sin que esta denominación implique una determinación previa sobre la existencia de la conducta.</w:t>
      </w:r>
    </w:p>
    <w:p>
      <w:pPr>
        <w:keepNext w:val="0"/>
        <w:spacing w:before="0" w:after="60" w:line="240" w:lineRule="auto"/>
        <w:jc w:val="both"/>
        <w:widowControl w:val="1"/>
      </w:pPr>
      <w:r>
        <w:rPr>
          <w:rFonts w:ascii="Arial" w:hAnsi="Arial" w:eastAsia="Arial"/>
          <w:b/>
          <w:i w:val="0"/>
          <w:sz w:val="22"/>
        </w:rPr>
        <w:t xml:space="preserve">Persona señalada: </w:t>
      </w:r>
      <w:r>
        <w:rPr>
          <w:rFonts w:ascii="Arial" w:hAnsi="Arial" w:eastAsia="Arial"/>
          <w:b w:val="0"/>
          <w:i w:val="0"/>
          <w:sz w:val="22"/>
        </w:rPr>
        <w:t>Persona respecto de quien se presentan los hechos, sin que esta denominación implique responsabilidad o prejuzgamiento.</w:t>
      </w:r>
    </w:p>
    <w:p>
      <w:pPr>
        <w:keepNext w:val="0"/>
        <w:spacing w:before="0" w:after="60" w:line="240" w:lineRule="auto"/>
        <w:jc w:val="both"/>
        <w:widowControl w:val="1"/>
      </w:pPr>
      <w:r>
        <w:rPr>
          <w:rFonts w:ascii="Arial" w:hAnsi="Arial" w:eastAsia="Arial"/>
          <w:b/>
          <w:i w:val="0"/>
          <w:sz w:val="22"/>
        </w:rPr>
        <w:t xml:space="preserve">Testigo: </w:t>
      </w:r>
      <w:r>
        <w:rPr>
          <w:rFonts w:ascii="Arial" w:hAnsi="Arial" w:eastAsia="Arial"/>
          <w:b w:val="0"/>
          <w:i w:val="0"/>
          <w:sz w:val="22"/>
        </w:rPr>
        <w:t>Persona que posee información relacionada con los hechos objeto de la queja.</w:t>
      </w:r>
    </w:p>
    <w:p>
      <w:pPr>
        <w:keepNext w:val="0"/>
        <w:spacing w:before="0" w:after="60" w:line="240" w:lineRule="auto"/>
        <w:jc w:val="both"/>
        <w:widowControl w:val="1"/>
      </w:pPr>
      <w:r>
        <w:rPr>
          <w:rFonts w:ascii="Arial" w:hAnsi="Arial" w:eastAsia="Arial"/>
          <w:b/>
          <w:i w:val="0"/>
          <w:sz w:val="22"/>
        </w:rPr>
        <w:t xml:space="preserve">Comité de Convivencia Laboral: </w:t>
      </w:r>
      <w:r>
        <w:rPr>
          <w:rFonts w:ascii="Arial" w:hAnsi="Arial" w:eastAsia="Arial"/>
          <w:b w:val="0"/>
          <w:i w:val="0"/>
          <w:sz w:val="22"/>
        </w:rPr>
        <w:t>Instancia paritaria de naturaleza preventiva, orientadora, conciliadora y canalizadora, encargada de promover relaciones laborales respetuosas y tramitar preventivamente las quejas de presunto acoso laboral conforme a la legislación vigente.</w:t>
      </w:r>
    </w:p>
    <w:p>
      <w:pPr>
        <w:keepNext w:val="0"/>
        <w:spacing w:before="0" w:after="60" w:line="240" w:lineRule="auto"/>
        <w:jc w:val="both"/>
        <w:widowControl w:val="1"/>
      </w:pPr>
      <w:r>
        <w:rPr>
          <w:rFonts w:ascii="Arial" w:hAnsi="Arial" w:eastAsia="Arial"/>
          <w:b/>
          <w:i w:val="0"/>
          <w:sz w:val="22"/>
        </w:rPr>
        <w:t xml:space="preserve">Represalia: </w:t>
      </w:r>
      <w:r>
        <w:rPr>
          <w:rFonts w:ascii="Arial" w:hAnsi="Arial" w:eastAsia="Arial"/>
          <w:b w:val="0"/>
          <w:i w:val="0"/>
          <w:sz w:val="22"/>
        </w:rPr>
        <w:t>Toda acción u omisión desfavorable, intimidatoria, discriminatoria o perjudicial adoptada como consecuencia de la presentación de una queja, la participación como testigo o la colaboración de buena fe en una actuación.</w:t>
      </w:r>
    </w:p>
    <w:p>
      <w:pPr>
        <w:keepNext w:val="0"/>
        <w:spacing w:before="0" w:after="60" w:line="240" w:lineRule="auto"/>
        <w:jc w:val="both"/>
        <w:widowControl w:val="1"/>
      </w:pPr>
      <w:r>
        <w:rPr>
          <w:rFonts w:ascii="Arial" w:hAnsi="Arial" w:eastAsia="Arial"/>
          <w:b/>
          <w:i w:val="0"/>
          <w:sz w:val="22"/>
        </w:rPr>
        <w:t xml:space="preserve">Riesgo psicosocial: </w:t>
      </w:r>
      <w:r>
        <w:rPr>
          <w:rFonts w:ascii="Arial" w:hAnsi="Arial" w:eastAsia="Arial"/>
          <w:b w:val="0"/>
          <w:i w:val="0"/>
          <w:sz w:val="22"/>
        </w:rPr>
        <w:t>Condiciones intralaborales, extralaborales o individuales que, de acuerdo con su intensidad y tiempo de exposición, pueden generar efectos negativos en la salud y el desempeño de las personas.</w:t>
      </w:r>
    </w:p>
    <w:p>
      <w:pPr>
        <w:keepNext/>
        <w:spacing w:before="160" w:after="100" w:line="240" w:lineRule="auto"/>
        <w:jc w:val="center"/>
        <w:widowControl w:val="1"/>
      </w:pPr>
      <w:r>
        <w:rPr>
          <w:rFonts w:ascii="Arial" w:hAnsi="Arial" w:eastAsia="Arial"/>
          <w:b/>
          <w:i w:val="0"/>
          <w:sz w:val="23"/>
        </w:rPr>
        <w:t>7. PRINCIPIOS RECTORES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Respeto por la dignidad humana.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Igualdad y no discriminación.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Buena fe.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Imparcialidad y objetividad.</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Debido proceso, derecho de defensa y contradicción.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Presunción de inocencia.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Confidencialidad y reserva.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Protección de datos personales.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Celeridad, eficacia y oportunidad.</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Proporcionalidad.</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Prevención y promoción de la salud mental.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revictimización.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Prohibición de represalias.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Protección de los derechos fundamentales.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Enfoque de género, diferencial e interseccional cuando resulte aplicable.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Voluntariedad del diálogo y respeto por la autonomía de las partes.</w:t>
      </w:r>
    </w:p>
    <w:p>
      <w:pPr>
        <w:keepNext/>
        <w:spacing w:before="160" w:after="100" w:line="240" w:lineRule="auto"/>
        <w:jc w:val="center"/>
        <w:widowControl w:val="1"/>
      </w:pPr>
      <w:r>
        <w:rPr>
          <w:rFonts w:ascii="Arial" w:hAnsi="Arial" w:eastAsia="Arial"/>
          <w:b/>
          <w:i w:val="0"/>
          <w:sz w:val="23"/>
        </w:rPr>
        <w:t>8. MODALIDADES DE ACOSO LABORAL</w:t>
      </w:r>
    </w:p>
    <w:p>
      <w:pPr>
        <w:keepNext w:val="0"/>
        <w:spacing w:before="0" w:after="60" w:line="240" w:lineRule="auto"/>
        <w:jc w:val="both"/>
        <w:widowControl w:val="1"/>
      </w:pPr>
      <w:r>
        <w:rPr>
          <w:rFonts w:ascii="Arial" w:hAnsi="Arial" w:eastAsia="Arial"/>
          <w:b/>
          <w:i w:val="0"/>
          <w:sz w:val="22"/>
        </w:rPr>
        <w:t xml:space="preserve">Maltrato laboral: </w:t>
      </w:r>
      <w:r>
        <w:rPr>
          <w:rFonts w:ascii="Arial" w:hAnsi="Arial" w:eastAsia="Arial"/>
          <w:b w:val="0"/>
          <w:i w:val="0"/>
          <w:sz w:val="22"/>
        </w:rPr>
        <w:t>Todo acto de violencia, expresión injuriosa, ultrajante o comportamiento que menoscabe la integridad física o moral, la libertad, la intimidad, el buen nombre o la dignidad de una persona en el trabajo.</w:t>
      </w:r>
    </w:p>
    <w:p>
      <w:pPr>
        <w:keepNext w:val="0"/>
        <w:spacing w:before="0" w:after="60" w:line="240" w:lineRule="auto"/>
        <w:jc w:val="both"/>
        <w:widowControl w:val="1"/>
      </w:pPr>
      <w:r>
        <w:rPr>
          <w:rFonts w:ascii="Arial" w:hAnsi="Arial" w:eastAsia="Arial"/>
          <w:b/>
          <w:i w:val="0"/>
          <w:sz w:val="22"/>
        </w:rPr>
        <w:t xml:space="preserve">Persecución laboral: </w:t>
      </w:r>
      <w:r>
        <w:rPr>
          <w:rFonts w:ascii="Arial" w:hAnsi="Arial" w:eastAsia="Arial"/>
          <w:b w:val="0"/>
          <w:i w:val="0"/>
          <w:sz w:val="22"/>
        </w:rPr>
        <w:t>Toda conducta reiterada o arbitraria que permita inferir el propósito de inducir la renuncia mediante descalificación, carga excesiva, cambios permanentes e injustificados, amenazas o actuaciones que produzcan desmotivación laboral.</w:t>
      </w:r>
    </w:p>
    <w:p>
      <w:pPr>
        <w:keepNext w:val="0"/>
        <w:spacing w:before="0" w:after="60" w:line="240" w:lineRule="auto"/>
        <w:jc w:val="both"/>
        <w:widowControl w:val="1"/>
      </w:pPr>
      <w:r>
        <w:rPr>
          <w:rFonts w:ascii="Arial" w:hAnsi="Arial" w:eastAsia="Arial"/>
          <w:b/>
          <w:i w:val="0"/>
          <w:sz w:val="22"/>
        </w:rPr>
        <w:t xml:space="preserve">Discriminación laboral: </w:t>
      </w:r>
      <w:r>
        <w:rPr>
          <w:rFonts w:ascii="Arial" w:hAnsi="Arial" w:eastAsia="Arial"/>
          <w:b w:val="0"/>
          <w:i w:val="0"/>
          <w:sz w:val="22"/>
        </w:rPr>
        <w:t>Todo trato diferenciado injustificado por razones personales, sociales o protegidas por la Constitución y la ley, o que carezca de razonabilidad desde el punto de vista laboral.</w:t>
      </w:r>
    </w:p>
    <w:p>
      <w:pPr>
        <w:keepNext w:val="0"/>
        <w:spacing w:before="0" w:after="60" w:line="240" w:lineRule="auto"/>
        <w:jc w:val="both"/>
        <w:widowControl w:val="1"/>
      </w:pPr>
      <w:r>
        <w:rPr>
          <w:rFonts w:ascii="Arial" w:hAnsi="Arial" w:eastAsia="Arial"/>
          <w:b/>
          <w:i w:val="0"/>
          <w:sz w:val="22"/>
        </w:rPr>
        <w:t xml:space="preserve">Entorpecimiento laboral: </w:t>
      </w:r>
      <w:r>
        <w:rPr>
          <w:rFonts w:ascii="Arial" w:hAnsi="Arial" w:eastAsia="Arial"/>
          <w:b w:val="0"/>
          <w:i w:val="0"/>
          <w:sz w:val="22"/>
        </w:rPr>
        <w:t>Toda acción dirigida a obstaculizar el cumplimiento de las labores, retardarlas o hacerlas más gravosas mediante ocultamiento de información, privación de insumos, bloqueo de comunicaciones, destrucción o pérdida de documentos u otras conductas semejantes.</w:t>
      </w:r>
    </w:p>
    <w:p>
      <w:pPr>
        <w:keepNext w:val="0"/>
        <w:spacing w:before="0" w:after="60" w:line="240" w:lineRule="auto"/>
        <w:jc w:val="both"/>
        <w:widowControl w:val="1"/>
      </w:pPr>
      <w:r>
        <w:rPr>
          <w:rFonts w:ascii="Arial" w:hAnsi="Arial" w:eastAsia="Arial"/>
          <w:b/>
          <w:i w:val="0"/>
          <w:sz w:val="22"/>
        </w:rPr>
        <w:t xml:space="preserve">Inequidad laboral: </w:t>
      </w:r>
      <w:r>
        <w:rPr>
          <w:rFonts w:ascii="Arial" w:hAnsi="Arial" w:eastAsia="Arial"/>
          <w:b w:val="0"/>
          <w:i w:val="0"/>
          <w:sz w:val="22"/>
        </w:rPr>
        <w:t>Asignación arbitraria o desproporcionada de funciones, cargas o responsabilidades con menosprecio de la persona trabajadora.</w:t>
      </w:r>
    </w:p>
    <w:p>
      <w:pPr>
        <w:keepNext w:val="0"/>
        <w:spacing w:before="0" w:after="60" w:line="240" w:lineRule="auto"/>
        <w:jc w:val="both"/>
        <w:widowControl w:val="1"/>
      </w:pPr>
      <w:r>
        <w:rPr>
          <w:rFonts w:ascii="Arial" w:hAnsi="Arial" w:eastAsia="Arial"/>
          <w:b/>
          <w:i w:val="0"/>
          <w:sz w:val="22"/>
        </w:rPr>
        <w:t xml:space="preserve">Desprotección laboral: </w:t>
      </w:r>
      <w:r>
        <w:rPr>
          <w:rFonts w:ascii="Arial" w:hAnsi="Arial" w:eastAsia="Arial"/>
          <w:b w:val="0"/>
          <w:i w:val="0"/>
          <w:sz w:val="22"/>
        </w:rPr>
        <w:t>Toda conducta que ponga en riesgo la integridad o seguridad de la persona mediante órdenes o asignaciones que desconozcan los requisitos mínimos de protección y seguridad.</w:t>
      </w:r>
    </w:p>
    <w:p>
      <w:pPr>
        <w:keepNext/>
        <w:spacing w:before="160" w:after="100" w:line="240" w:lineRule="auto"/>
        <w:jc w:val="center"/>
        <w:widowControl w:val="1"/>
      </w:pPr>
      <w:r>
        <w:rPr>
          <w:rFonts w:ascii="Arial" w:hAnsi="Arial" w:eastAsia="Arial"/>
          <w:b/>
          <w:i w:val="0"/>
          <w:sz w:val="23"/>
        </w:rPr>
        <w:t>9. CONDUCTAS QUE PUEDEN CONSTITUIR ACOSO LABORAL</w:t>
      </w:r>
    </w:p>
    <w:p>
      <w:pPr>
        <w:keepNext w:val="0"/>
        <w:spacing w:before="0" w:after="60" w:line="240" w:lineRule="auto"/>
        <w:jc w:val="both"/>
        <w:widowControl w:val="1"/>
      </w:pPr>
      <w:r>
        <w:rPr>
          <w:rFonts w:ascii="Arial" w:hAnsi="Arial" w:eastAsia="Arial"/>
          <w:b w:val="0"/>
          <w:i w:val="0"/>
          <w:sz w:val="22"/>
        </w:rPr>
        <w:t>Podrán constituir acoso laboral, entre otras, las siguientes conductas cuando se presenten en las condiciones previstas por la Ley 1010 de 2006 y sean valoradas atendiendo su frecuencia, contexto, gravedad, publicidad, finalidad y capacidad de afectación: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Actos de agresión física, amenazas, intimidaciones o comportamientos que pongan en riesgo la integridad de una persona.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Expresiones injuriosas, ultrajantes, humillantes o discriminatorias.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Comentarios hostiles o descalificaciones profesionales efectuadas de manera humillante.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Amenazas injustificadas de despido o de afectación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Denuncias, quejas o procesos reiterados cuya temeridad o finalidad persecutoria resulte demostrada.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Descalificación humillante de propuestas, opiniones, capacidades o resultados laborales.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Burlas, señalamientos o alusiones públicas sobre la apariencia, vida privada, salud, origen o cualquier condición personal.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Imposición de labores ostensiblemente extrañas al cargo o exigencias abiertamente desproporcionadas sin fundamento técnico u organizacional.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Cambios bruscos e injustificados de lugar, horario, turno o funciones utilizados como mecanismo de presión o discriminación.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Exigencia permanente o discriminatoria de jornadas excesivas, trabajo dominical o festivo sin fundamento objetivo y sin reconocimiento de los derechos laborales.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Trato notoriamente discriminatorio en el reconocimiento de derechos, beneficios, cargas u oportunidades.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Negativa injustificada a suministrar materiales, herramientas o información indispensables para el cumplimiento de las funciones.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Negativa injustificada a otorgar permisos, licencias o vacaciones cuando se cumplen los requisitos legales, reglamentarios o internos.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Aislamiento, exclusión deliberada, bloqueo de comunicaciones o prohibición injustificada de interacción con compañeros.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Envío de mensajes, llamadas, correos o comunicaciones digitales con contenido ofensivo, intimidatorio, humillante o persecutorio.</w:t>
      </w:r>
    </w:p>
    <w:p>
      <w:pPr>
        <w:keepNext w:val="0"/>
        <w:spacing w:before="0" w:after="60" w:line="240" w:lineRule="auto"/>
        <w:jc w:val="both"/>
        <w:widowControl w:val="1"/>
      </w:pPr>
      <w:r>
        <w:rPr>
          <w:rFonts w:ascii="Arial" w:hAnsi="Arial" w:eastAsia="Arial"/>
          <w:b w:val="0"/>
          <w:i w:val="0"/>
          <w:sz w:val="22"/>
        </w:rPr>
        <w:t>La enumeración anterior no es taxativa. Los hechos deberán ser analizados integralmente y el Comité de Convivencia Laboral no podrá declarar jurídicamente la existencia del acoso laboral ni determinar responsabilidad.</w:t>
      </w:r>
    </w:p>
    <w:p>
      <w:pPr>
        <w:keepNext/>
        <w:spacing w:before="160" w:after="100" w:line="240" w:lineRule="auto"/>
        <w:jc w:val="center"/>
        <w:widowControl w:val="1"/>
      </w:pPr>
      <w:r>
        <w:rPr>
          <w:rFonts w:ascii="Arial" w:hAnsi="Arial" w:eastAsia="Arial"/>
          <w:b/>
          <w:i w:val="0"/>
          <w:sz w:val="23"/>
        </w:rPr>
        <w:t>10. CONDUCTAS QUE NO CONSTITUYEN ACOSO LABORAL</w:t>
      </w:r>
    </w:p>
    <w:p>
      <w:pPr>
        <w:keepNext w:val="0"/>
        <w:spacing w:before="0" w:after="60" w:line="240" w:lineRule="auto"/>
        <w:jc w:val="both"/>
        <w:widowControl w:val="1"/>
      </w:pPr>
      <w:r>
        <w:rPr>
          <w:rFonts w:ascii="Arial" w:hAnsi="Arial" w:eastAsia="Arial"/>
          <w:b w:val="0"/>
          <w:i w:val="0"/>
          <w:sz w:val="22"/>
        </w:rPr>
        <w:t>No constituyen acoso laboral, cuando se ejerzan de manera objetiva, razonable, respetuosa, proporcional, no discriminatoria y conforme a la ley:</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Las órdenes e instrucciones necesarias para mantener la disciplina y el cumplimiento de las obligaciones laborales.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El ejercicio legítimo de la potestad disciplinaria, con observancia del debido proceso.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Las exigencias razonables de fidelidad, diligencia, eficiencia, calidad, rendimiento y lealtad empresarial.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 formulación de circulares, memorandos, requerimientos técnicos o planes de mejoramiento orientados a corregir incumplimientos o mejorar el desempeño.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 evaluación objetiva del rendimiento, con base en criterios generales, verificables y previamente comunicados.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 solicitud de colaboración extraordinaria para atender necesidades operativas, emergencias o continuidad del servicio, respetando la jornada, descansos y remuneraciones legales.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Las actuaciones dirigidas a terminar el contrato de trabajo con fundamento en una causa legal o justa causa, previa observancia del procedimiento aplicable.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 exigencia de cumplir el Reglamento Interno de Trabajo, el contrato, las políticas, los procedimientos y las obligaciones legales.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La asignación razonable de funciones compatibles con el cargo, la experiencia, las aptitudes y las condiciones laborales de la persona.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Los desacuerdos, diferencias de opinión o conflictos ocasionales que no impliquen hostigamiento, persecución, humillación o afectación sistemática de la dignidad.</w:t>
      </w:r>
    </w:p>
    <w:p>
      <w:pPr>
        <w:keepNext w:val="0"/>
        <w:spacing w:before="0" w:after="60" w:line="240" w:lineRule="auto"/>
        <w:jc w:val="both"/>
        <w:widowControl w:val="1"/>
      </w:pPr>
      <w:r>
        <w:rPr>
          <w:rFonts w:ascii="Arial" w:hAnsi="Arial" w:eastAsia="Arial"/>
          <w:b w:val="0"/>
          <w:i w:val="0"/>
          <w:sz w:val="22"/>
        </w:rPr>
        <w:t>El ejercicio de las facultades de subordinación, dirección, control y organización no podrá utilizarse como mecanismo de intimidación, discriminación, represalia, persecución o afectación de la dignidad.</w:t>
      </w:r>
    </w:p>
    <w:p>
      <w:pPr>
        <w:keepNext/>
        <w:spacing w:before="160" w:after="100" w:line="240" w:lineRule="auto"/>
        <w:jc w:val="center"/>
        <w:widowControl w:val="1"/>
      </w:pPr>
      <w:r>
        <w:rPr>
          <w:rFonts w:ascii="Arial" w:hAnsi="Arial" w:eastAsia="Arial"/>
          <w:b/>
          <w:i w:val="0"/>
          <w:sz w:val="23"/>
        </w:rPr>
        <w:t>11. LINEAMIENTOS Y MEDIDAS DE PREVENCIÓN</w:t>
      </w:r>
    </w:p>
    <w:p>
      <w:pPr>
        <w:keepNext w:val="0"/>
        <w:spacing w:before="0" w:after="60" w:line="240" w:lineRule="auto"/>
        <w:jc w:val="both"/>
        <w:widowControl w:val="1"/>
      </w:pPr>
      <w:r>
        <w:rPr>
          <w:rFonts w:ascii="Arial" w:hAnsi="Arial" w:eastAsia="Arial"/>
          <w:b w:val="0"/>
          <w:i w:val="0"/>
          <w:sz w:val="22"/>
        </w:rPr>
        <w:t>CODEMAK S.A.S., a través de la Alta Dirección, Talento Humano y el SG-SST, implementará y mantendrá las siguientes medidas: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Divulgar permanentemente la presente política y el procedimiento interno de atención preventiva.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Incorporar contenidos sobre convivencia y prevención del acoso laboral en la inducción, reinducción y capacitación anual.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Elaborar, adoptar y socializar lineamientos o manuales de convivencia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Capacitar a directivos, mandos medios y responsables de personal en liderazgo respetuoso, comunicación asertiva, manejo de conflictos y ejercicio adecuado de la subordinación.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Capacitar a los integrantes del Comité de Convivencia Laboral en la normatividad vigente, técnicas de escucha, conciliación, confidencialidad, enfoque diferencial y manejo de casos.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Evaluar e intervenir los factores de riesgo psicosocial y desarrollar acciones de promoción de la salud mental.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Disponer de canales seguros, confidenciales, accesibles y divulgados para la presentación de quejas.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Promover espacios de diálogo, participación, bienestar y mejora del clima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Solicitar acompañamiento y asistencia técnica de la Administradora de Riesgos Laborales cuando resulte necesario.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Implementar acciones de mejora y de no repetición derivadas de las recomendaciones del Comité y del análisis del SG-SST.</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Asignar recursos, tiempo dentro de la jornada, medios físicos y tecnológicos para el funcionamiento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Realizar seguimiento mediante indicadores y conservar evidencia documental de la implementación.</w:t>
      </w:r>
    </w:p>
    <w:p>
      <w:pPr>
        <w:keepNext/>
        <w:spacing w:before="160" w:after="100" w:line="240" w:lineRule="auto"/>
        <w:jc w:val="center"/>
        <w:widowControl w:val="1"/>
      </w:pPr>
      <w:r>
        <w:rPr>
          <w:rFonts w:ascii="Arial" w:hAnsi="Arial" w:eastAsia="Arial"/>
          <w:b/>
          <w:i w:val="0"/>
          <w:sz w:val="23"/>
        </w:rPr>
        <w:t>12. RESPONSABILIDADES</w:t>
      </w:r>
    </w:p>
    <w:p>
      <w:pPr>
        <w:keepNext/>
        <w:spacing w:before="100" w:after="60" w:line="240" w:lineRule="auto"/>
        <w:jc w:val="left"/>
        <w:widowControl w:val="1"/>
      </w:pPr>
      <w:r>
        <w:rPr>
          <w:rFonts w:ascii="Arial" w:hAnsi="Arial" w:eastAsia="Arial"/>
          <w:b/>
          <w:i w:val="0"/>
          <w:sz w:val="22"/>
        </w:rPr>
        <w:t>12.1. Alta Dirección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Aprobar, respaldar y divulgar la presente política.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Garantizar los recursos humanos, físicos, técnicos, tecnológicos y financieros requeridos.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Respetar la independencia funcional del Comité de Convivencia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Analizar y gestionar oportunamente las recomendaciones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Adoptar medidas preventivas, correctivas, organizacionales o disciplinarias dentro de sus competencias.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Garantizar la prohibición de represalias y promover una cultura de cero tolerancia.</w:t>
      </w:r>
    </w:p>
    <w:p>
      <w:pPr>
        <w:keepNext/>
        <w:spacing w:before="100" w:after="60" w:line="240" w:lineRule="auto"/>
        <w:jc w:val="left"/>
        <w:widowControl w:val="1"/>
      </w:pPr>
      <w:r>
        <w:rPr>
          <w:rFonts w:ascii="Arial" w:hAnsi="Arial" w:eastAsia="Arial"/>
          <w:b/>
          <w:i w:val="0"/>
          <w:sz w:val="22"/>
        </w:rPr>
        <w:t>12.2. Área de Talento Humano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Coordinar la divulgación, inducción, reinducción y capacitación.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Proporcionar apoyo administrativo al Comité sin interferir en su independencia.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Gestionar las recomendaciones que sean de su competencia.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Mantener actualizada la información de los canales de queja y de los integrantes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Adelantar, cuando corresponda, procedimientos disciplinarios independientes con respeto del debido proceso.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Conservar las evidencias de implementación, capacitación y acciones de mejora.</w:t>
      </w:r>
    </w:p>
    <w:p>
      <w:pPr>
        <w:keepNext/>
        <w:spacing w:before="100" w:after="60" w:line="240" w:lineRule="auto"/>
        <w:jc w:val="left"/>
        <w:widowControl w:val="1"/>
      </w:pPr>
      <w:r>
        <w:rPr>
          <w:rFonts w:ascii="Arial" w:hAnsi="Arial" w:eastAsia="Arial"/>
          <w:b/>
          <w:i w:val="0"/>
          <w:sz w:val="22"/>
        </w:rPr>
        <w:t>12.3. Responsable del SG-SST</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Integrar la prevención del acoso laboral al plan anual del SG-SST.</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Identificar, evaluar e intervenir los factores de riesgo psicosocial.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Coordinar acciones preventivas con Talento Humano y la ARL.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Realizar seguimiento a las recomendaciones de carácter preventivo y de salud mental.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Mantener evidencia de las actividades e indicadores implementados.</w:t>
      </w:r>
    </w:p>
    <w:p>
      <w:pPr>
        <w:keepNext/>
        <w:spacing w:before="100" w:after="60" w:line="240" w:lineRule="auto"/>
        <w:jc w:val="left"/>
        <w:widowControl w:val="1"/>
      </w:pPr>
      <w:r>
        <w:rPr>
          <w:rFonts w:ascii="Arial" w:hAnsi="Arial" w:eastAsia="Arial"/>
          <w:b/>
          <w:i w:val="0"/>
          <w:sz w:val="22"/>
        </w:rPr>
        <w:t>12.4. Jefes, directivos y mandos medios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Ejercer la autoridad con respeto, razonabilidad, proporcionalidad y sujeción a la ley.</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Prevenir y corregir oportunamente prácticas de maltrato, discriminación, intimidación o exclusión.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Promover la comunicación asertiva y la solución temprana de conflictos.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Abstenerse de realizar represalias o interferir en las actuaciones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Participar en las capacitaciones y cumplir las recomendaciones institucionales.</w:t>
      </w:r>
    </w:p>
    <w:p>
      <w:pPr>
        <w:keepNext/>
        <w:spacing w:before="100" w:after="60" w:line="240" w:lineRule="auto"/>
        <w:jc w:val="left"/>
        <w:widowControl w:val="1"/>
      </w:pPr>
      <w:r>
        <w:rPr>
          <w:rFonts w:ascii="Arial" w:hAnsi="Arial" w:eastAsia="Arial"/>
          <w:b/>
          <w:i w:val="0"/>
          <w:sz w:val="22"/>
        </w:rPr>
        <w:t>12.5. Trabajadores y demás personas comprendidas en el alcance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Mantener un trato digno, respetuoso y profesional.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Abstenerse de ejecutar, promover, tolerar o encubrir conductas de acoso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Participar de buena fe en las actuaciones preventivas.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Guardar confidencialidad sobre la información conocida con ocasión del trámite.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Cumplir los compromisos de convivencia y las acciones de mejora acordadas.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Abstenerse de presentar información falsa o utilizar los canales con finalidad temeraria, sin que ello limite el derecho a formular quejas de buena fe.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Participar en las actividades de capacitación y prevención.</w:t>
      </w:r>
    </w:p>
    <w:p>
      <w:pPr>
        <w:keepNext/>
        <w:spacing w:before="100" w:after="60" w:line="240" w:lineRule="auto"/>
        <w:jc w:val="left"/>
        <w:widowControl w:val="1"/>
      </w:pPr>
      <w:r>
        <w:rPr>
          <w:rFonts w:ascii="Arial" w:hAnsi="Arial" w:eastAsia="Arial"/>
          <w:b/>
          <w:i w:val="0"/>
          <w:sz w:val="22"/>
        </w:rPr>
        <w:t>12.6. Administradora de Riesgos Laborales</w:t>
      </w:r>
    </w:p>
    <w:p>
      <w:pPr>
        <w:keepNext w:val="0"/>
        <w:spacing w:before="0" w:after="60" w:line="240" w:lineRule="auto"/>
        <w:jc w:val="both"/>
        <w:widowControl w:val="1"/>
      </w:pPr>
      <w:r>
        <w:rPr>
          <w:rFonts w:ascii="Arial" w:hAnsi="Arial" w:eastAsia="Arial"/>
          <w:b w:val="0"/>
          <w:i w:val="0"/>
          <w:sz w:val="22"/>
        </w:rPr>
        <w:t>La ARL brindará la asesoría y asistencia técnica que corresponda de acuerdo con la normatividad vigente, especialmente en materia de prevención, intervención de factores de riesgo psicosocial, capacitación y promoción de la salud mental.</w:t>
      </w:r>
    </w:p>
    <w:p>
      <w:pPr>
        <w:keepNext/>
        <w:spacing w:before="160" w:after="100" w:line="240" w:lineRule="auto"/>
        <w:jc w:val="center"/>
        <w:widowControl w:val="1"/>
      </w:pPr>
      <w:r>
        <w:rPr>
          <w:rFonts w:ascii="Arial" w:hAnsi="Arial" w:eastAsia="Arial"/>
          <w:b/>
          <w:i w:val="0"/>
          <w:sz w:val="23"/>
        </w:rPr>
        <w:t>13. COMITÉ DE CONVIVENCIA LABORAL</w:t>
      </w:r>
    </w:p>
    <w:p>
      <w:pPr>
        <w:keepNext/>
        <w:spacing w:before="100" w:after="60" w:line="240" w:lineRule="auto"/>
        <w:jc w:val="left"/>
        <w:widowControl w:val="1"/>
      </w:pPr>
      <w:r>
        <w:rPr>
          <w:rFonts w:ascii="Arial" w:hAnsi="Arial" w:eastAsia="Arial"/>
          <w:b/>
          <w:i w:val="0"/>
          <w:sz w:val="22"/>
        </w:rPr>
        <w:t>13.1. Naturaleza</w:t>
      </w:r>
    </w:p>
    <w:p>
      <w:pPr>
        <w:keepNext w:val="0"/>
        <w:spacing w:before="0" w:after="60" w:line="240" w:lineRule="auto"/>
        <w:jc w:val="both"/>
        <w:widowControl w:val="1"/>
      </w:pPr>
      <w:r>
        <w:rPr>
          <w:rFonts w:ascii="Arial" w:hAnsi="Arial" w:eastAsia="Arial"/>
          <w:b w:val="0"/>
          <w:i w:val="0"/>
          <w:sz w:val="22"/>
        </w:rPr>
        <w:t>El Comité de Convivencia Laboral de CODEMAK S.A.S. es una instancia paritaria, preventiva, orientadora, conciliadora y canalizadora, dirigida a contribuir a la protección de las personas frente a factores de riesgo psicosocial relacionados con la convivencia y el presunto acoso laboral.</w:t>
      </w:r>
    </w:p>
    <w:p>
      <w:pPr>
        <w:keepNext w:val="0"/>
        <w:spacing w:before="0" w:after="60" w:line="240" w:lineRule="auto"/>
        <w:jc w:val="both"/>
        <w:widowControl w:val="1"/>
      </w:pPr>
      <w:r>
        <w:rPr>
          <w:rFonts w:ascii="Arial" w:hAnsi="Arial" w:eastAsia="Arial"/>
          <w:b w:val="0"/>
          <w:i w:val="0"/>
          <w:sz w:val="22"/>
        </w:rPr>
        <w:t>Su conformación, elección, período, reuniones, quórum, funciones, impedimentos, archivo y demás condiciones de funcionamiento se regirán por la Resolución 3461 de 2025 y por el reglamento interno del Comité.</w:t>
      </w:r>
    </w:p>
    <w:p>
      <w:pPr>
        <w:keepNext/>
        <w:spacing w:before="100" w:after="60" w:line="240" w:lineRule="auto"/>
        <w:jc w:val="left"/>
        <w:widowControl w:val="1"/>
      </w:pPr>
      <w:r>
        <w:rPr>
          <w:rFonts w:ascii="Arial" w:hAnsi="Arial" w:eastAsia="Arial"/>
          <w:b/>
          <w:i w:val="0"/>
          <w:sz w:val="22"/>
        </w:rPr>
        <w:t>13.2. Alcance y funciones</w:t>
      </w:r>
    </w:p>
    <w:p>
      <w:pPr>
        <w:keepNext w:val="0"/>
        <w:spacing w:before="0" w:after="60" w:line="240" w:lineRule="auto"/>
        <w:jc w:val="both"/>
        <w:widowControl w:val="1"/>
      </w:pPr>
      <w:r>
        <w:rPr>
          <w:rFonts w:ascii="Arial" w:hAnsi="Arial" w:eastAsia="Arial"/>
          <w:b w:val="0"/>
          <w:i w:val="0"/>
          <w:sz w:val="22"/>
        </w:rPr>
        <w:t>Dentro de su competencia preventiva, el Comité podrá:</w:t>
      </w:r>
    </w:p>
    <w:p>
      <w:pPr>
        <w:keepNext w:val="0"/>
        <w:spacing w:before="0" w:after="40" w:line="240" w:lineRule="auto"/>
        <w:ind w:left="432" w:hanging="432"/>
        <w:jc w:val="both"/>
        <w:widowControl w:val="1"/>
      </w:pPr>
      <w:r>
        <w:rPr>
          <w:rFonts w:ascii="Arial" w:hAnsi="Arial" w:eastAsia="Arial"/>
          <w:b/>
          <w:i w:val="0"/>
          <w:sz w:val="22"/>
        </w:rPr>
        <w:t xml:space="preserve">1. </w:t>
      </w:r>
      <w:r>
        <w:rPr>
          <w:rFonts w:ascii="Arial" w:hAnsi="Arial" w:eastAsia="Arial"/>
          <w:b w:val="0"/>
          <w:i w:val="0"/>
          <w:sz w:val="22"/>
        </w:rPr>
        <w:t>Recibir y dar trámite a las quejas en las que se describan situaciones que puedan constituir presunto acoso laboral y a los soportes que se aporten.</w:t>
      </w:r>
    </w:p>
    <w:p>
      <w:pPr>
        <w:keepNext w:val="0"/>
        <w:spacing w:before="0" w:after="40" w:line="240" w:lineRule="auto"/>
        <w:ind w:left="432" w:hanging="432"/>
        <w:jc w:val="both"/>
        <w:widowControl w:val="1"/>
      </w:pPr>
      <w:r>
        <w:rPr>
          <w:rFonts w:ascii="Arial" w:hAnsi="Arial" w:eastAsia="Arial"/>
          <w:b/>
          <w:i w:val="0"/>
          <w:sz w:val="22"/>
        </w:rPr>
        <w:t xml:space="preserve">2. </w:t>
      </w:r>
      <w:r>
        <w:rPr>
          <w:rFonts w:ascii="Arial" w:hAnsi="Arial" w:eastAsia="Arial"/>
          <w:b w:val="0"/>
          <w:i w:val="0"/>
          <w:sz w:val="22"/>
        </w:rPr>
        <w:t>Examinar confidencialmente los casos sometidos a su conocimiento y verificar si corresponden a su ámbito de competencia.</w:t>
      </w:r>
    </w:p>
    <w:p>
      <w:pPr>
        <w:keepNext w:val="0"/>
        <w:spacing w:before="0" w:after="40" w:line="240" w:lineRule="auto"/>
        <w:ind w:left="432" w:hanging="432"/>
        <w:jc w:val="both"/>
        <w:widowControl w:val="1"/>
      </w:pPr>
      <w:r>
        <w:rPr>
          <w:rFonts w:ascii="Arial" w:hAnsi="Arial" w:eastAsia="Arial"/>
          <w:b/>
          <w:i w:val="0"/>
          <w:sz w:val="22"/>
        </w:rPr>
        <w:t xml:space="preserve">3. </w:t>
      </w:r>
      <w:r>
        <w:rPr>
          <w:rFonts w:ascii="Arial" w:hAnsi="Arial" w:eastAsia="Arial"/>
          <w:b w:val="0"/>
          <w:i w:val="0"/>
          <w:sz w:val="22"/>
        </w:rPr>
        <w:t>Escuchar individualmente a las personas involucradas sobre los hechos que dieron origen a la queja.</w:t>
      </w:r>
    </w:p>
    <w:p>
      <w:pPr>
        <w:keepNext w:val="0"/>
        <w:spacing w:before="0" w:after="40" w:line="240" w:lineRule="auto"/>
        <w:ind w:left="432" w:hanging="432"/>
        <w:jc w:val="both"/>
        <w:widowControl w:val="1"/>
      </w:pPr>
      <w:r>
        <w:rPr>
          <w:rFonts w:ascii="Arial" w:hAnsi="Arial" w:eastAsia="Arial"/>
          <w:b/>
          <w:i w:val="0"/>
          <w:sz w:val="22"/>
        </w:rPr>
        <w:t xml:space="preserve">4. </w:t>
      </w:r>
      <w:r>
        <w:rPr>
          <w:rFonts w:ascii="Arial" w:hAnsi="Arial" w:eastAsia="Arial"/>
          <w:b w:val="0"/>
          <w:i w:val="0"/>
          <w:sz w:val="22"/>
        </w:rPr>
        <w:t>Promover, cuando resulte procedente, espacios de diálogo respetuoso, voluntario y confidencial.</w:t>
      </w:r>
    </w:p>
    <w:p>
      <w:pPr>
        <w:keepNext w:val="0"/>
        <w:spacing w:before="0" w:after="40" w:line="240" w:lineRule="auto"/>
        <w:ind w:left="432" w:hanging="432"/>
        <w:jc w:val="both"/>
        <w:widowControl w:val="1"/>
      </w:pPr>
      <w:r>
        <w:rPr>
          <w:rFonts w:ascii="Arial" w:hAnsi="Arial" w:eastAsia="Arial"/>
          <w:b/>
          <w:i w:val="0"/>
          <w:sz w:val="22"/>
        </w:rPr>
        <w:t xml:space="preserve">5. </w:t>
      </w:r>
      <w:r>
        <w:rPr>
          <w:rFonts w:ascii="Arial" w:hAnsi="Arial" w:eastAsia="Arial"/>
          <w:b w:val="0"/>
          <w:i w:val="0"/>
          <w:sz w:val="22"/>
        </w:rPr>
        <w:t>Formular planes de mejora, compromisos de convivencia y recomendaciones orientadas a restablecer relaciones laborales respetuosas.</w:t>
      </w:r>
    </w:p>
    <w:p>
      <w:pPr>
        <w:keepNext w:val="0"/>
        <w:spacing w:before="0" w:after="40" w:line="240" w:lineRule="auto"/>
        <w:ind w:left="432" w:hanging="432"/>
        <w:jc w:val="both"/>
        <w:widowControl w:val="1"/>
      </w:pPr>
      <w:r>
        <w:rPr>
          <w:rFonts w:ascii="Arial" w:hAnsi="Arial" w:eastAsia="Arial"/>
          <w:b/>
          <w:i w:val="0"/>
          <w:sz w:val="22"/>
        </w:rPr>
        <w:t xml:space="preserve">6. </w:t>
      </w:r>
      <w:r>
        <w:rPr>
          <w:rFonts w:ascii="Arial" w:hAnsi="Arial" w:eastAsia="Arial"/>
          <w:b w:val="0"/>
          <w:i w:val="0"/>
          <w:sz w:val="22"/>
        </w:rPr>
        <w:t>Realizar seguimiento mensual al cumplimiento de los compromisos y planes acordados.</w:t>
      </w:r>
    </w:p>
    <w:p>
      <w:pPr>
        <w:keepNext w:val="0"/>
        <w:spacing w:before="0" w:after="40" w:line="240" w:lineRule="auto"/>
        <w:ind w:left="432" w:hanging="432"/>
        <w:jc w:val="both"/>
        <w:widowControl w:val="1"/>
      </w:pPr>
      <w:r>
        <w:rPr>
          <w:rFonts w:ascii="Arial" w:hAnsi="Arial" w:eastAsia="Arial"/>
          <w:b/>
          <w:i w:val="0"/>
          <w:sz w:val="22"/>
        </w:rPr>
        <w:t xml:space="preserve">7. </w:t>
      </w:r>
      <w:r>
        <w:rPr>
          <w:rFonts w:ascii="Arial" w:hAnsi="Arial" w:eastAsia="Arial"/>
          <w:b w:val="0"/>
          <w:i w:val="0"/>
          <w:sz w:val="22"/>
        </w:rPr>
        <w:t>Formular recomendaciones preventivas y correctivas a la Alta Dirección, Talento Humano y el SG-SST.</w:t>
      </w:r>
    </w:p>
    <w:p>
      <w:pPr>
        <w:keepNext w:val="0"/>
        <w:spacing w:before="0" w:after="40" w:line="240" w:lineRule="auto"/>
        <w:ind w:left="432" w:hanging="432"/>
        <w:jc w:val="both"/>
        <w:widowControl w:val="1"/>
      </w:pPr>
      <w:r>
        <w:rPr>
          <w:rFonts w:ascii="Arial" w:hAnsi="Arial" w:eastAsia="Arial"/>
          <w:b/>
          <w:i w:val="0"/>
          <w:sz w:val="22"/>
        </w:rPr>
        <w:t xml:space="preserve">8. </w:t>
      </w:r>
      <w:r>
        <w:rPr>
          <w:rFonts w:ascii="Arial" w:hAnsi="Arial" w:eastAsia="Arial"/>
          <w:b w:val="0"/>
          <w:i w:val="0"/>
          <w:sz w:val="22"/>
        </w:rPr>
        <w:t>Hacer seguimiento a la implementación de las recomendaciones institucionales.</w:t>
      </w:r>
    </w:p>
    <w:p>
      <w:pPr>
        <w:keepNext w:val="0"/>
        <w:spacing w:before="0" w:after="40" w:line="240" w:lineRule="auto"/>
        <w:ind w:left="432" w:hanging="432"/>
        <w:jc w:val="both"/>
        <w:widowControl w:val="1"/>
      </w:pPr>
      <w:r>
        <w:rPr>
          <w:rFonts w:ascii="Arial" w:hAnsi="Arial" w:eastAsia="Arial"/>
          <w:b/>
          <w:i w:val="0"/>
          <w:sz w:val="22"/>
        </w:rPr>
        <w:t xml:space="preserve">9. </w:t>
      </w:r>
      <w:r>
        <w:rPr>
          <w:rFonts w:ascii="Arial" w:hAnsi="Arial" w:eastAsia="Arial"/>
          <w:b w:val="0"/>
          <w:i w:val="0"/>
          <w:sz w:val="22"/>
        </w:rPr>
        <w:t>Informar a la Alta Dirección cuando no se logre acuerdo, se incumplan los compromisos o persistan las conductas reportadas.</w:t>
      </w:r>
    </w:p>
    <w:p>
      <w:pPr>
        <w:keepNext w:val="0"/>
        <w:spacing w:before="0" w:after="40" w:line="240" w:lineRule="auto"/>
        <w:ind w:left="432" w:hanging="432"/>
        <w:jc w:val="both"/>
        <w:widowControl w:val="1"/>
      </w:pPr>
      <w:r>
        <w:rPr>
          <w:rFonts w:ascii="Arial" w:hAnsi="Arial" w:eastAsia="Arial"/>
          <w:b/>
          <w:i w:val="0"/>
          <w:sz w:val="22"/>
        </w:rPr>
        <w:t xml:space="preserve">10. </w:t>
      </w:r>
      <w:r>
        <w:rPr>
          <w:rFonts w:ascii="Arial" w:hAnsi="Arial" w:eastAsia="Arial"/>
          <w:b w:val="0"/>
          <w:i w:val="0"/>
          <w:sz w:val="22"/>
        </w:rPr>
        <w:t>Elaborar informes trimestrales y un informe anual de gestión, con estadísticas, seguimiento y recomendaciones, preservando la identidad y los datos personales.</w:t>
      </w:r>
    </w:p>
    <w:p>
      <w:pPr>
        <w:keepNext w:val="0"/>
        <w:spacing w:before="0" w:after="40" w:line="240" w:lineRule="auto"/>
        <w:ind w:left="432" w:hanging="432"/>
        <w:jc w:val="both"/>
        <w:widowControl w:val="1"/>
      </w:pPr>
      <w:r>
        <w:rPr>
          <w:rFonts w:ascii="Arial" w:hAnsi="Arial" w:eastAsia="Arial"/>
          <w:b/>
          <w:i w:val="0"/>
          <w:sz w:val="22"/>
        </w:rPr>
        <w:t xml:space="preserve">11. </w:t>
      </w:r>
      <w:r>
        <w:rPr>
          <w:rFonts w:ascii="Arial" w:hAnsi="Arial" w:eastAsia="Arial"/>
          <w:b w:val="0"/>
          <w:i w:val="0"/>
          <w:sz w:val="22"/>
        </w:rPr>
        <w:t>Promover actividades de prevención, sensibilización, capacitación, buen trato y mejora del clima laboral.</w:t>
      </w:r>
    </w:p>
    <w:p>
      <w:pPr>
        <w:keepNext w:val="0"/>
        <w:spacing w:before="0" w:after="40" w:line="240" w:lineRule="auto"/>
        <w:ind w:left="432" w:hanging="432"/>
        <w:jc w:val="both"/>
        <w:widowControl w:val="1"/>
      </w:pPr>
      <w:r>
        <w:rPr>
          <w:rFonts w:ascii="Arial" w:hAnsi="Arial" w:eastAsia="Arial"/>
          <w:b/>
          <w:i w:val="0"/>
          <w:sz w:val="22"/>
        </w:rPr>
        <w:t xml:space="preserve">12. </w:t>
      </w:r>
      <w:r>
        <w:rPr>
          <w:rFonts w:ascii="Arial" w:hAnsi="Arial" w:eastAsia="Arial"/>
          <w:b w:val="0"/>
          <w:i w:val="0"/>
          <w:sz w:val="22"/>
        </w:rPr>
        <w:t>Atender las conminaciones preventivas formuladas por los Inspectores de Trabajo, dentro del marco de sus competencias.</w:t>
      </w:r>
    </w:p>
    <w:p>
      <w:pPr>
        <w:keepNext/>
        <w:spacing w:before="100" w:after="60" w:line="240" w:lineRule="auto"/>
        <w:jc w:val="left"/>
        <w:widowControl w:val="1"/>
      </w:pPr>
      <w:r>
        <w:rPr>
          <w:rFonts w:ascii="Arial" w:hAnsi="Arial" w:eastAsia="Arial"/>
          <w:b/>
          <w:i w:val="0"/>
          <w:sz w:val="22"/>
        </w:rPr>
        <w:t>13.3. Límites de competencia</w:t>
      </w:r>
    </w:p>
    <w:p>
      <w:pPr>
        <w:keepNext w:val="0"/>
        <w:spacing w:before="0" w:after="60" w:line="240" w:lineRule="auto"/>
        <w:jc w:val="both"/>
        <w:widowControl w:val="1"/>
      </w:pPr>
      <w:r>
        <w:rPr>
          <w:rFonts w:ascii="Arial" w:hAnsi="Arial" w:eastAsia="Arial"/>
          <w:b w:val="0"/>
          <w:i w:val="0"/>
          <w:sz w:val="22"/>
        </w:rPr>
        <w:t>El Comité de Convivencia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ejerce funciones judiciales ni administrativas sancionatorias.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adelanta investigaciones disciplinarias.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declara jurídicamente la existencia o inexistencia de acoso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determina responsabilidades ni impone sanciones.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ordena despidos, terminaciones contractuales, traslados o descuentos.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sustituye las competencias de la Alta Dirección, Talento Humano, el Ministerio del Trabajo, los inspectores de trabajo o los jueces.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es competente para recibir, conciliar, investigar o decidir casos de acoso sexual o violencia sexual.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 emite diagnósticos médicos o psicológicos ni reemplaza la atención profesional.</w:t>
      </w:r>
    </w:p>
    <w:p>
      <w:pPr>
        <w:keepNext/>
        <w:spacing w:before="100" w:after="60" w:line="240" w:lineRule="auto"/>
        <w:jc w:val="left"/>
        <w:widowControl w:val="1"/>
      </w:pPr>
      <w:r>
        <w:rPr>
          <w:rFonts w:ascii="Arial" w:hAnsi="Arial" w:eastAsia="Arial"/>
          <w:b/>
          <w:i w:val="0"/>
          <w:sz w:val="22"/>
        </w:rPr>
        <w:t>13.4. Sesiones, términos y seguimiento</w:t>
      </w:r>
    </w:p>
    <w:p>
      <w:pPr>
        <w:keepNext w:val="0"/>
        <w:spacing w:before="0" w:after="60" w:line="240" w:lineRule="auto"/>
        <w:jc w:val="both"/>
        <w:widowControl w:val="1"/>
      </w:pPr>
      <w:r>
        <w:rPr>
          <w:rFonts w:ascii="Arial" w:hAnsi="Arial" w:eastAsia="Arial"/>
          <w:b w:val="0"/>
          <w:i w:val="0"/>
          <w:sz w:val="22"/>
        </w:rPr>
        <w:t>El Comité se reunirá ordinariamente una vez al mes y extraordinariamente cada vez que se reciba una queja formal que requiera su intervención. De cada sesión se levantará un acta sometida a reserva.</w:t>
      </w:r>
    </w:p>
    <w:p>
      <w:pPr>
        <w:keepNext w:val="0"/>
        <w:spacing w:before="0" w:after="60" w:line="240" w:lineRule="auto"/>
        <w:jc w:val="both"/>
        <w:widowControl w:val="1"/>
      </w:pPr>
      <w:r>
        <w:rPr>
          <w:rFonts w:ascii="Arial" w:hAnsi="Arial" w:eastAsia="Arial"/>
          <w:b w:val="0"/>
          <w:i w:val="0"/>
          <w:sz w:val="22"/>
        </w:rPr>
        <w:t>El procedimiento preventivo para la gestión de una queja de presunto acoso laboral no podrá superar sesenta y cinco (65) días calendario contados desde su recepción formal, sin incluir el seguimiento mensual posterior a los compromisos o planes de mejora.</w:t>
      </w:r>
    </w:p>
    <w:p>
      <w:pPr>
        <w:keepNext w:val="0"/>
        <w:spacing w:before="0" w:after="60" w:line="240" w:lineRule="auto"/>
        <w:jc w:val="both"/>
        <w:widowControl w:val="1"/>
      </w:pPr>
      <w:r>
        <w:rPr>
          <w:rFonts w:ascii="Arial" w:hAnsi="Arial" w:eastAsia="Arial"/>
          <w:b w:val="0"/>
          <w:i w:val="0"/>
          <w:sz w:val="22"/>
        </w:rPr>
        <w:t>Cuando no se logre una solución preventiva, se incumplan los compromisos o persista la situación, el Comité informará a la Alta Dirección, cerrará su actuación preventiva y orientará a la persona interesada sobre las instancias internas o autoridades externas competentes.</w:t>
      </w:r>
    </w:p>
    <w:p>
      <w:pPr>
        <w:keepNext/>
        <w:spacing w:before="100" w:after="60" w:line="240" w:lineRule="auto"/>
        <w:jc w:val="left"/>
        <w:widowControl w:val="1"/>
      </w:pPr>
      <w:r>
        <w:rPr>
          <w:rFonts w:ascii="Arial" w:hAnsi="Arial" w:eastAsia="Arial"/>
          <w:b/>
          <w:i w:val="0"/>
          <w:sz w:val="22"/>
        </w:rPr>
        <w:t>13.5. Impedimentos, recusaciones y conflictos de interés</w:t>
      </w:r>
    </w:p>
    <w:p>
      <w:pPr>
        <w:keepNext w:val="0"/>
        <w:spacing w:before="0" w:after="60" w:line="240" w:lineRule="auto"/>
        <w:jc w:val="both"/>
        <w:widowControl w:val="1"/>
      </w:pPr>
      <w:r>
        <w:rPr>
          <w:rFonts w:ascii="Arial" w:hAnsi="Arial" w:eastAsia="Arial"/>
          <w:b w:val="0"/>
          <w:i w:val="0"/>
          <w:sz w:val="22"/>
        </w:rPr>
        <w:t>Los integrantes del Comité deberán declararse impedidos cuando exista interés personal, relación de subordinación directa, conflicto previo, parentesco, participación en los hechos o cualquier circunstancia que pueda afectar su imparcialidad. La situación será gestionada conforme al reglamento interno del Comité y se convocará al suplente correspondiente.</w:t>
      </w:r>
    </w:p>
    <w:p>
      <w:pPr>
        <w:keepNext/>
        <w:spacing w:before="160" w:after="100" w:line="240" w:lineRule="auto"/>
        <w:jc w:val="center"/>
        <w:widowControl w:val="1"/>
      </w:pPr>
      <w:r>
        <w:rPr>
          <w:rFonts w:ascii="Arial" w:hAnsi="Arial" w:eastAsia="Arial"/>
          <w:b/>
          <w:i w:val="0"/>
          <w:sz w:val="23"/>
        </w:rPr>
        <w:t>14. CANALES Y PRESENTACIÓN DE QUEJAS</w:t>
      </w:r>
    </w:p>
    <w:p>
      <w:pPr>
        <w:keepNext w:val="0"/>
        <w:spacing w:before="0" w:after="60" w:line="240" w:lineRule="auto"/>
        <w:jc w:val="both"/>
        <w:widowControl w:val="1"/>
      </w:pPr>
      <w:r>
        <w:rPr>
          <w:rFonts w:ascii="Arial" w:hAnsi="Arial" w:eastAsia="Arial"/>
          <w:b w:val="0"/>
          <w:i w:val="0"/>
          <w:sz w:val="22"/>
        </w:rPr>
        <w:t>Las quejas por presunto acoso laboral podrán presentarse mediante los canales físicos o digitales definidos y divulgados por CODEMAK S.A.S., incluido el canal digital institucional mediante código QR, el formato físico, el buzón interno, el correo institucional que se habilite o la comunicación directa ante la Secretaría del Comité de Convivencia Laboral.</w:t>
      </w:r>
    </w:p>
    <w:p>
      <w:pPr>
        <w:keepNext w:val="0"/>
        <w:spacing w:before="0" w:after="60" w:line="240" w:lineRule="auto"/>
        <w:jc w:val="both"/>
        <w:widowControl w:val="1"/>
      </w:pPr>
      <w:r>
        <w:rPr>
          <w:rFonts w:ascii="Arial" w:hAnsi="Arial" w:eastAsia="Arial"/>
          <w:b w:val="0"/>
          <w:i w:val="0"/>
          <w:sz w:val="22"/>
        </w:rPr>
        <w:t>La queja podrá contener, en lo posible: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Identificación y datos de contacto de la persona que presenta la queja.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Identificación de la persona o personas señaladas.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Descripción clara, concreta y cronológica de los hechos.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Fechas aproximadas, lugares, medios físicos o digitales y contexto laboral.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Nombres de testigos, cuando existan.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Documentos, mensajes, registros u otros soportes disponibles.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Solicitud o expectativa frente al trámite preventivo.</w:t>
      </w:r>
    </w:p>
    <w:p>
      <w:pPr>
        <w:keepNext w:val="0"/>
        <w:spacing w:before="0" w:after="60" w:line="240" w:lineRule="auto"/>
        <w:jc w:val="both"/>
        <w:widowControl w:val="1"/>
      </w:pPr>
      <w:r>
        <w:rPr>
          <w:rFonts w:ascii="Arial" w:hAnsi="Arial" w:eastAsia="Arial"/>
          <w:b w:val="0"/>
          <w:i w:val="0"/>
          <w:sz w:val="22"/>
        </w:rPr>
        <w:t>La falta de alguno de estos elementos no impedirá la recepción cuando sea posible identificar razonablemente la situación. Los reportes anónimos podrán ser valorados para adoptar medidas generales de prevención, aunque la imposibilidad de identificar a las partes puede limitar la actuación conciliatoria individual.</w:t>
      </w:r>
    </w:p>
    <w:p>
      <w:pPr>
        <w:keepNext w:val="0"/>
        <w:spacing w:before="0" w:after="60" w:line="240" w:lineRule="auto"/>
        <w:jc w:val="both"/>
        <w:widowControl w:val="1"/>
      </w:pPr>
      <w:r>
        <w:rPr>
          <w:rFonts w:ascii="Arial" w:hAnsi="Arial" w:eastAsia="Arial"/>
          <w:b w:val="0"/>
          <w:i w:val="0"/>
          <w:sz w:val="22"/>
        </w:rPr>
        <w:t>Cuando la queja involucre a la persona encargada de recibirla, a un integrante del Comité, a un directivo o exista conflicto de interés, se utilizará el canal alterno definido por la Alta Dirección, garantizando independencia y confidencialidad.</w:t>
      </w:r>
    </w:p>
    <w:p>
      <w:pPr>
        <w:keepNext/>
        <w:spacing w:before="160" w:after="100" w:line="240" w:lineRule="auto"/>
        <w:jc w:val="center"/>
        <w:widowControl w:val="1"/>
      </w:pPr>
      <w:r>
        <w:rPr>
          <w:rFonts w:ascii="Arial" w:hAnsi="Arial" w:eastAsia="Arial"/>
          <w:b/>
          <w:i w:val="0"/>
          <w:sz w:val="23"/>
        </w:rPr>
        <w:t>15. LINEAMIENTOS GENERALES DEL TRÁMITE PREVENTIVO</w:t>
      </w:r>
    </w:p>
    <w:p>
      <w:pPr>
        <w:keepNext w:val="0"/>
        <w:spacing w:before="0" w:after="60" w:line="240" w:lineRule="auto"/>
        <w:jc w:val="both"/>
        <w:widowControl w:val="1"/>
      </w:pPr>
      <w:r>
        <w:rPr>
          <w:rFonts w:ascii="Arial" w:hAnsi="Arial" w:eastAsia="Arial"/>
          <w:b w:val="0"/>
          <w:i w:val="0"/>
          <w:sz w:val="22"/>
        </w:rPr>
        <w:t>El procedimiento específico desarrollará, como mínimo, las siguientes etapas:</w:t>
      </w:r>
    </w:p>
    <w:p>
      <w:pPr>
        <w:keepNext w:val="0"/>
        <w:spacing w:before="0" w:after="40" w:line="240" w:lineRule="auto"/>
        <w:ind w:left="432" w:hanging="432"/>
        <w:jc w:val="both"/>
        <w:widowControl w:val="1"/>
      </w:pPr>
      <w:r>
        <w:rPr>
          <w:rFonts w:ascii="Arial" w:hAnsi="Arial" w:eastAsia="Arial"/>
          <w:b/>
          <w:i w:val="0"/>
          <w:sz w:val="22"/>
        </w:rPr>
        <w:t xml:space="preserve">1. </w:t>
      </w:r>
      <w:r>
        <w:rPr>
          <w:rFonts w:ascii="Arial" w:hAnsi="Arial" w:eastAsia="Arial"/>
          <w:b w:val="0"/>
          <w:i w:val="0"/>
          <w:sz w:val="22"/>
        </w:rPr>
        <w:t>Recepción y registro confidencial de la queja.</w:t>
      </w:r>
    </w:p>
    <w:p>
      <w:pPr>
        <w:keepNext w:val="0"/>
        <w:spacing w:before="0" w:after="40" w:line="240" w:lineRule="auto"/>
        <w:ind w:left="432" w:hanging="432"/>
        <w:jc w:val="both"/>
        <w:widowControl w:val="1"/>
      </w:pPr>
      <w:r>
        <w:rPr>
          <w:rFonts w:ascii="Arial" w:hAnsi="Arial" w:eastAsia="Arial"/>
          <w:b/>
          <w:i w:val="0"/>
          <w:sz w:val="22"/>
        </w:rPr>
        <w:t xml:space="preserve">2. </w:t>
      </w:r>
      <w:r>
        <w:rPr>
          <w:rFonts w:ascii="Arial" w:hAnsi="Arial" w:eastAsia="Arial"/>
          <w:b w:val="0"/>
          <w:i w:val="0"/>
          <w:sz w:val="22"/>
        </w:rPr>
        <w:t>Verificación inicial de competencia y de posibles impedimentos.</w:t>
      </w:r>
    </w:p>
    <w:p>
      <w:pPr>
        <w:keepNext w:val="0"/>
        <w:spacing w:before="0" w:after="40" w:line="240" w:lineRule="auto"/>
        <w:ind w:left="432" w:hanging="432"/>
        <w:jc w:val="both"/>
        <w:widowControl w:val="1"/>
      </w:pPr>
      <w:r>
        <w:rPr>
          <w:rFonts w:ascii="Arial" w:hAnsi="Arial" w:eastAsia="Arial"/>
          <w:b/>
          <w:i w:val="0"/>
          <w:sz w:val="22"/>
        </w:rPr>
        <w:t xml:space="preserve">3. </w:t>
      </w:r>
      <w:r>
        <w:rPr>
          <w:rFonts w:ascii="Arial" w:hAnsi="Arial" w:eastAsia="Arial"/>
          <w:b w:val="0"/>
          <w:i w:val="0"/>
          <w:sz w:val="22"/>
        </w:rPr>
        <w:t>Comunicación de recepción y orientación a la persona que presenta la queja.</w:t>
      </w:r>
    </w:p>
    <w:p>
      <w:pPr>
        <w:keepNext w:val="0"/>
        <w:spacing w:before="0" w:after="40" w:line="240" w:lineRule="auto"/>
        <w:ind w:left="432" w:hanging="432"/>
        <w:jc w:val="both"/>
        <w:widowControl w:val="1"/>
      </w:pPr>
      <w:r>
        <w:rPr>
          <w:rFonts w:ascii="Arial" w:hAnsi="Arial" w:eastAsia="Arial"/>
          <w:b/>
          <w:i w:val="0"/>
          <w:sz w:val="22"/>
        </w:rPr>
        <w:t xml:space="preserve">4. </w:t>
      </w:r>
      <w:r>
        <w:rPr>
          <w:rFonts w:ascii="Arial" w:hAnsi="Arial" w:eastAsia="Arial"/>
          <w:b w:val="0"/>
          <w:i w:val="0"/>
          <w:sz w:val="22"/>
        </w:rPr>
        <w:t>Examen confidencial de los hechos y soportes.</w:t>
      </w:r>
    </w:p>
    <w:p>
      <w:pPr>
        <w:keepNext w:val="0"/>
        <w:spacing w:before="0" w:after="40" w:line="240" w:lineRule="auto"/>
        <w:ind w:left="432" w:hanging="432"/>
        <w:jc w:val="both"/>
        <w:widowControl w:val="1"/>
      </w:pPr>
      <w:r>
        <w:rPr>
          <w:rFonts w:ascii="Arial" w:hAnsi="Arial" w:eastAsia="Arial"/>
          <w:b/>
          <w:i w:val="0"/>
          <w:sz w:val="22"/>
        </w:rPr>
        <w:t xml:space="preserve">5. </w:t>
      </w:r>
      <w:r>
        <w:rPr>
          <w:rFonts w:ascii="Arial" w:hAnsi="Arial" w:eastAsia="Arial"/>
          <w:b w:val="0"/>
          <w:i w:val="0"/>
          <w:sz w:val="22"/>
        </w:rPr>
        <w:t>Entrevistas individuales y separadas con las personas involucradas.</w:t>
      </w:r>
    </w:p>
    <w:p>
      <w:pPr>
        <w:keepNext w:val="0"/>
        <w:spacing w:before="0" w:after="40" w:line="240" w:lineRule="auto"/>
        <w:ind w:left="432" w:hanging="432"/>
        <w:jc w:val="both"/>
        <w:widowControl w:val="1"/>
      </w:pPr>
      <w:r>
        <w:rPr>
          <w:rFonts w:ascii="Arial" w:hAnsi="Arial" w:eastAsia="Arial"/>
          <w:b/>
          <w:i w:val="0"/>
          <w:sz w:val="22"/>
        </w:rPr>
        <w:t xml:space="preserve">6. </w:t>
      </w:r>
      <w:r>
        <w:rPr>
          <w:rFonts w:ascii="Arial" w:hAnsi="Arial" w:eastAsia="Arial"/>
          <w:b w:val="0"/>
          <w:i w:val="0"/>
          <w:sz w:val="22"/>
        </w:rPr>
        <w:t>Definición de la procedencia de un espacio de diálogo preventivo.</w:t>
      </w:r>
    </w:p>
    <w:p>
      <w:pPr>
        <w:keepNext w:val="0"/>
        <w:spacing w:before="0" w:after="40" w:line="240" w:lineRule="auto"/>
        <w:ind w:left="432" w:hanging="432"/>
        <w:jc w:val="both"/>
        <w:widowControl w:val="1"/>
      </w:pPr>
      <w:r>
        <w:rPr>
          <w:rFonts w:ascii="Arial" w:hAnsi="Arial" w:eastAsia="Arial"/>
          <w:b/>
          <w:i w:val="0"/>
          <w:sz w:val="22"/>
        </w:rPr>
        <w:t xml:space="preserve">7. </w:t>
      </w:r>
      <w:r>
        <w:rPr>
          <w:rFonts w:ascii="Arial" w:hAnsi="Arial" w:eastAsia="Arial"/>
          <w:b w:val="0"/>
          <w:i w:val="0"/>
          <w:sz w:val="22"/>
        </w:rPr>
        <w:t>Formulación de compromisos, plan de mejora o recomendaciones.</w:t>
      </w:r>
    </w:p>
    <w:p>
      <w:pPr>
        <w:keepNext w:val="0"/>
        <w:spacing w:before="0" w:after="40" w:line="240" w:lineRule="auto"/>
        <w:ind w:left="432" w:hanging="432"/>
        <w:jc w:val="both"/>
        <w:widowControl w:val="1"/>
      </w:pPr>
      <w:r>
        <w:rPr>
          <w:rFonts w:ascii="Arial" w:hAnsi="Arial" w:eastAsia="Arial"/>
          <w:b/>
          <w:i w:val="0"/>
          <w:sz w:val="22"/>
        </w:rPr>
        <w:t xml:space="preserve">8. </w:t>
      </w:r>
      <w:r>
        <w:rPr>
          <w:rFonts w:ascii="Arial" w:hAnsi="Arial" w:eastAsia="Arial"/>
          <w:b w:val="0"/>
          <w:i w:val="0"/>
          <w:sz w:val="22"/>
        </w:rPr>
        <w:t>Seguimiento mensual al cumplimiento de los compromisos.</w:t>
      </w:r>
    </w:p>
    <w:p>
      <w:pPr>
        <w:keepNext w:val="0"/>
        <w:spacing w:before="0" w:after="40" w:line="240" w:lineRule="auto"/>
        <w:ind w:left="432" w:hanging="432"/>
        <w:jc w:val="both"/>
        <w:widowControl w:val="1"/>
      </w:pPr>
      <w:r>
        <w:rPr>
          <w:rFonts w:ascii="Arial" w:hAnsi="Arial" w:eastAsia="Arial"/>
          <w:b/>
          <w:i w:val="0"/>
          <w:sz w:val="22"/>
        </w:rPr>
        <w:t xml:space="preserve">9. </w:t>
      </w:r>
      <w:r>
        <w:rPr>
          <w:rFonts w:ascii="Arial" w:hAnsi="Arial" w:eastAsia="Arial"/>
          <w:b w:val="0"/>
          <w:i w:val="0"/>
          <w:sz w:val="22"/>
        </w:rPr>
        <w:t>Cierre documentado del caso o remisión a la instancia competente.</w:t>
      </w:r>
    </w:p>
    <w:p>
      <w:pPr>
        <w:keepNext w:val="0"/>
        <w:spacing w:before="0" w:after="40" w:line="240" w:lineRule="auto"/>
        <w:ind w:left="432" w:hanging="432"/>
        <w:jc w:val="both"/>
        <w:widowControl w:val="1"/>
      </w:pPr>
      <w:r>
        <w:rPr>
          <w:rFonts w:ascii="Arial" w:hAnsi="Arial" w:eastAsia="Arial"/>
          <w:b/>
          <w:i w:val="0"/>
          <w:sz w:val="22"/>
        </w:rPr>
        <w:t xml:space="preserve">10. </w:t>
      </w:r>
      <w:r>
        <w:rPr>
          <w:rFonts w:ascii="Arial" w:hAnsi="Arial" w:eastAsia="Arial"/>
          <w:b w:val="0"/>
          <w:i w:val="0"/>
          <w:sz w:val="22"/>
        </w:rPr>
        <w:t>Elaboración de estadísticas e informes anonimizados.</w:t>
      </w:r>
    </w:p>
    <w:p>
      <w:pPr>
        <w:keepNext w:val="0"/>
        <w:spacing w:before="0" w:after="60" w:line="240" w:lineRule="auto"/>
        <w:jc w:val="both"/>
        <w:widowControl w:val="1"/>
      </w:pPr>
      <w:r>
        <w:rPr>
          <w:rFonts w:ascii="Arial" w:hAnsi="Arial" w:eastAsia="Arial"/>
          <w:b w:val="0"/>
          <w:i w:val="0"/>
          <w:sz w:val="22"/>
        </w:rPr>
        <w:t>La participación en espacios de diálogo deberá desarrollarse con respeto por la autonomía, la dignidad y la seguridad de las personas. El Comité no podrá coaccionar acuerdos, prejuzgar, confrontar de manera improcedente ni utilizar su actuación como sustituto de un proceso disciplinario.</w:t>
      </w:r>
    </w:p>
    <w:p>
      <w:pPr>
        <w:keepNext w:val="0"/>
        <w:spacing w:before="0" w:after="60" w:line="240" w:lineRule="auto"/>
        <w:jc w:val="both"/>
        <w:widowControl w:val="1"/>
      </w:pPr>
      <w:r>
        <w:rPr>
          <w:rFonts w:ascii="Arial" w:hAnsi="Arial" w:eastAsia="Arial"/>
          <w:b w:val="0"/>
          <w:i w:val="0"/>
          <w:sz w:val="22"/>
        </w:rPr>
        <w:t>El procedimiento interno no limita, suspende ni condiciona el derecho de cualquier persona a acudir ante el Ministerio del Trabajo, el Inspector de Trabajo, la jurisdicción laboral o las demás autoridades competentes.</w:t>
      </w:r>
    </w:p>
    <w:p>
      <w:pPr>
        <w:keepNext/>
        <w:spacing w:before="160" w:after="100" w:line="240" w:lineRule="auto"/>
        <w:jc w:val="center"/>
        <w:widowControl w:val="1"/>
      </w:pPr>
      <w:r>
        <w:rPr>
          <w:rFonts w:ascii="Arial" w:hAnsi="Arial" w:eastAsia="Arial"/>
          <w:b/>
          <w:i w:val="0"/>
          <w:sz w:val="23"/>
        </w:rPr>
        <w:t>16. MEDIDAS PREVENTIVAS, CORRECTIVAS Y DE ACOMPAÑAMIENTO</w:t>
      </w:r>
    </w:p>
    <w:p>
      <w:pPr>
        <w:keepNext w:val="0"/>
        <w:spacing w:before="0" w:after="60" w:line="240" w:lineRule="auto"/>
        <w:jc w:val="both"/>
        <w:widowControl w:val="1"/>
      </w:pPr>
      <w:r>
        <w:rPr>
          <w:rFonts w:ascii="Arial" w:hAnsi="Arial" w:eastAsia="Arial"/>
          <w:b w:val="0"/>
          <w:i w:val="0"/>
          <w:sz w:val="22"/>
        </w:rPr>
        <w:t>De acuerdo con la naturaleza de la situación y sin prejuzgar sobre responsabilidades, CODEMAK S.A.S. podrá implementar, dentro de sus competencias, medidas tales como: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Capacitación individual o colectiva en convivencia, comunicación y liderazgo.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Acompañamiento de Talento Humano, SG-SST o ARL.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Intervención de factores de riesgo psicosocial.</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Ajustes organizacionales razonables en procesos, cargas, comunicación o supervisión.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Planes de mejora y compromisos de convivencia.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Orientación psicológica mediante los recursos disponibles.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Seguimiento preventivo al clima y a las relaciones de trabajo.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Activación de rutas disciplinarias, administrativas o externas cuando corresponda.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Medidas de no repetición y fortalecimiento de controles internos.</w:t>
      </w:r>
    </w:p>
    <w:p>
      <w:pPr>
        <w:keepNext w:val="0"/>
        <w:spacing w:before="0" w:after="60" w:line="240" w:lineRule="auto"/>
        <w:jc w:val="both"/>
        <w:widowControl w:val="1"/>
      </w:pPr>
      <w:r>
        <w:rPr>
          <w:rFonts w:ascii="Arial" w:hAnsi="Arial" w:eastAsia="Arial"/>
          <w:b w:val="0"/>
          <w:i w:val="0"/>
          <w:sz w:val="22"/>
        </w:rPr>
        <w:t>Las medidas deberán ser idóneas, necesarias, proporcionales, temporales cuando corresponda y respetuosas de los derechos de todas las personas involucradas. No podrán utilizarse para afectar injustificadamente a quien presenta la queja.</w:t>
      </w:r>
    </w:p>
    <w:p>
      <w:pPr>
        <w:keepNext/>
        <w:spacing w:before="160" w:after="100" w:line="240" w:lineRule="auto"/>
        <w:jc w:val="center"/>
        <w:widowControl w:val="1"/>
      </w:pPr>
      <w:r>
        <w:rPr>
          <w:rFonts w:ascii="Arial" w:hAnsi="Arial" w:eastAsia="Arial"/>
          <w:b/>
          <w:i w:val="0"/>
          <w:sz w:val="23"/>
        </w:rPr>
        <w:t>17. CONFIDENCIALIDAD, RESERVA Y PROTECCIÓN DE DATOS</w:t>
      </w:r>
    </w:p>
    <w:p>
      <w:pPr>
        <w:keepNext w:val="0"/>
        <w:spacing w:before="0" w:after="60" w:line="240" w:lineRule="auto"/>
        <w:jc w:val="both"/>
        <w:widowControl w:val="1"/>
      </w:pPr>
      <w:r>
        <w:rPr>
          <w:rFonts w:ascii="Arial" w:hAnsi="Arial" w:eastAsia="Arial"/>
          <w:b w:val="0"/>
          <w:i w:val="0"/>
          <w:sz w:val="22"/>
        </w:rPr>
        <w:t>La información relacionada con las quejas, entrevistas, actas, soportes, compromisos, recomendaciones y seguimientos tendrá carácter reservado y será tratada de conformidad con la Ley 1581 de 2012, las políticas internas de tratamiento de datos y la normatividad aplicable.</w:t>
      </w:r>
    </w:p>
    <w:p>
      <w:pPr>
        <w:keepNext w:val="0"/>
        <w:spacing w:before="0" w:after="60" w:line="240" w:lineRule="auto"/>
        <w:jc w:val="both"/>
        <w:widowControl w:val="1"/>
      </w:pPr>
      <w:r>
        <w:rPr>
          <w:rFonts w:ascii="Arial" w:hAnsi="Arial" w:eastAsia="Arial"/>
          <w:b w:val="0"/>
          <w:i w:val="0"/>
          <w:sz w:val="22"/>
        </w:rPr>
        <w:t>El acceso estará limitado a las personas expresamente autorizadas. La documentación será custodiada mediante mecanismos físicos o digitales que garanticen integridad, autenticidad, trazabilidad, disponibilidad restringida y confidencialidad.</w:t>
      </w:r>
    </w:p>
    <w:p>
      <w:pPr>
        <w:keepNext w:val="0"/>
        <w:spacing w:before="0" w:after="60" w:line="240" w:lineRule="auto"/>
        <w:jc w:val="both"/>
        <w:widowControl w:val="1"/>
      </w:pPr>
      <w:r>
        <w:rPr>
          <w:rFonts w:ascii="Arial" w:hAnsi="Arial" w:eastAsia="Arial"/>
          <w:b w:val="0"/>
          <w:i w:val="0"/>
          <w:sz w:val="22"/>
        </w:rPr>
        <w:t>Los integrantes del Comité, las áreas de apoyo, las personas involucradas y quienes conozcan información del trámite deberán abstenerse de divulgarla o utilizarla para fines distintos a los autorizados.</w:t>
      </w:r>
    </w:p>
    <w:p>
      <w:pPr>
        <w:keepNext w:val="0"/>
        <w:spacing w:before="0" w:after="60" w:line="240" w:lineRule="auto"/>
        <w:jc w:val="both"/>
        <w:widowControl w:val="1"/>
      </w:pPr>
      <w:r>
        <w:rPr>
          <w:rFonts w:ascii="Arial" w:hAnsi="Arial" w:eastAsia="Arial"/>
          <w:b w:val="0"/>
          <w:i w:val="0"/>
          <w:sz w:val="22"/>
        </w:rPr>
        <w:t>Los informes de gestión serán estadísticos y anonimizados, salvo requerimiento de una autoridad competente o autorización legal expresa.</w:t>
      </w:r>
    </w:p>
    <w:p>
      <w:pPr>
        <w:keepNext/>
        <w:spacing w:before="160" w:after="100" w:line="240" w:lineRule="auto"/>
        <w:jc w:val="center"/>
        <w:widowControl w:val="1"/>
      </w:pPr>
      <w:r>
        <w:rPr>
          <w:rFonts w:ascii="Arial" w:hAnsi="Arial" w:eastAsia="Arial"/>
          <w:b/>
          <w:i w:val="0"/>
          <w:sz w:val="23"/>
        </w:rPr>
        <w:t>18. PROHIBICIÓN DE REPRESALIAS Y MEDIDAS DE PROTECCIÓN</w:t>
      </w:r>
    </w:p>
    <w:p>
      <w:pPr>
        <w:keepNext w:val="0"/>
        <w:spacing w:before="0" w:after="60" w:line="240" w:lineRule="auto"/>
        <w:jc w:val="both"/>
        <w:widowControl w:val="1"/>
      </w:pPr>
      <w:r>
        <w:rPr>
          <w:rFonts w:ascii="Arial" w:hAnsi="Arial" w:eastAsia="Arial"/>
          <w:b w:val="0"/>
          <w:i w:val="0"/>
          <w:sz w:val="22"/>
        </w:rPr>
        <w:t>CODEMAK S.A.S. prohíbe cualquier represalia, intimidación, amenaza, discriminación, persecución, desmejora injustificada, aislamiento o trato desfavorable contra quien: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Presente una queja o reporte de buena fe.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Participe como testigo.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Aporte información o documentos.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Colabore en una actuación preventiva, disciplinaria o administrativa.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Se niegue a participar en conductas que puedan constituir acoso laboral.</w:t>
      </w:r>
    </w:p>
    <w:p>
      <w:pPr>
        <w:keepNext w:val="0"/>
        <w:spacing w:before="0" w:after="60" w:line="240" w:lineRule="auto"/>
        <w:jc w:val="both"/>
        <w:widowControl w:val="1"/>
      </w:pPr>
      <w:r>
        <w:rPr>
          <w:rFonts w:ascii="Arial" w:hAnsi="Arial" w:eastAsia="Arial"/>
          <w:b w:val="0"/>
          <w:i w:val="0"/>
          <w:sz w:val="22"/>
        </w:rPr>
        <w:t>Todo reporte de presunta represalia será evaluado de manera prioritaria por la instancia competente. La protección contra represalias no ampara la presentación deliberada de información falsa, la alteración de pruebas o el uso temerario de los mecanismos internos, conductas que deberán ser acreditadas mediante el debido proceso.</w:t>
      </w:r>
    </w:p>
    <w:p>
      <w:pPr>
        <w:keepNext/>
        <w:spacing w:before="160" w:after="100" w:line="240" w:lineRule="auto"/>
        <w:jc w:val="center"/>
        <w:widowControl w:val="1"/>
      </w:pPr>
      <w:r>
        <w:rPr>
          <w:rFonts w:ascii="Arial" w:hAnsi="Arial" w:eastAsia="Arial"/>
          <w:b/>
          <w:i w:val="0"/>
          <w:sz w:val="23"/>
        </w:rPr>
        <w:t>19. SITUACIONES QUE INVOLUCREN A TERCEROS</w:t>
      </w:r>
    </w:p>
    <w:p>
      <w:pPr>
        <w:keepNext w:val="0"/>
        <w:spacing w:before="0" w:after="60" w:line="240" w:lineRule="auto"/>
        <w:jc w:val="both"/>
        <w:widowControl w:val="1"/>
      </w:pPr>
      <w:r>
        <w:rPr>
          <w:rFonts w:ascii="Arial" w:hAnsi="Arial" w:eastAsia="Arial"/>
          <w:b w:val="0"/>
          <w:i w:val="0"/>
          <w:sz w:val="22"/>
        </w:rPr>
        <w:t>Cuando los hechos involucren contratistas, subcontratistas, proveedores, clientes, trabajadores independientes, trabajadores en misión o personal de otras organizaciones, CODEMAK S.A.S. coordinará la gestión con el respectivo empleador o contratante, respetando la competencia de cada organización, la confidencialidad y la naturaleza jurídica de los vínculos.</w:t>
      </w:r>
    </w:p>
    <w:p>
      <w:pPr>
        <w:keepNext w:val="0"/>
        <w:spacing w:before="0" w:after="60" w:line="240" w:lineRule="auto"/>
        <w:jc w:val="both"/>
        <w:widowControl w:val="1"/>
      </w:pPr>
      <w:r>
        <w:rPr>
          <w:rFonts w:ascii="Arial" w:hAnsi="Arial" w:eastAsia="Arial"/>
          <w:b w:val="0"/>
          <w:i w:val="0"/>
          <w:sz w:val="22"/>
        </w:rPr>
        <w:t>CODEMAK S.A.S. podrá adoptar medidas preventivas, contractuales, de acceso, coordinación o seguridad dentro de su ámbito de control, sin que ello implique declarar una relación laboral inexistente o asumir competencias ajenas.</w:t>
      </w:r>
    </w:p>
    <w:p>
      <w:pPr>
        <w:keepNext/>
        <w:spacing w:before="160" w:after="100" w:line="240" w:lineRule="auto"/>
        <w:jc w:val="center"/>
        <w:widowControl w:val="1"/>
      </w:pPr>
      <w:r>
        <w:rPr>
          <w:rFonts w:ascii="Arial" w:hAnsi="Arial" w:eastAsia="Arial"/>
          <w:b/>
          <w:i w:val="0"/>
          <w:sz w:val="23"/>
        </w:rPr>
        <w:t>20. TRATAMIENTO DIFERENCIADO DEL ACOSO SEXUAL</w:t>
      </w:r>
    </w:p>
    <w:p>
      <w:pPr>
        <w:keepNext w:val="0"/>
        <w:spacing w:before="0" w:after="60" w:line="240" w:lineRule="auto"/>
        <w:jc w:val="both"/>
        <w:widowControl w:val="1"/>
      </w:pPr>
      <w:r>
        <w:rPr>
          <w:rFonts w:ascii="Arial" w:hAnsi="Arial" w:eastAsia="Arial"/>
          <w:b w:val="0"/>
          <w:i w:val="0"/>
          <w:sz w:val="22"/>
        </w:rPr>
        <w:t>Las conductas que puedan constituir acoso sexual, violencia sexual o violencia por razones de género no son conciliables y no serán tramitadas por el Comité de Convivencia Laboral.</w:t>
      </w:r>
    </w:p>
    <w:p>
      <w:pPr>
        <w:keepNext w:val="0"/>
        <w:spacing w:before="0" w:after="60" w:line="240" w:lineRule="auto"/>
        <w:jc w:val="both"/>
        <w:widowControl w:val="1"/>
      </w:pPr>
      <w:r>
        <w:rPr>
          <w:rFonts w:ascii="Arial" w:hAnsi="Arial" w:eastAsia="Arial"/>
          <w:b w:val="0"/>
          <w:i w:val="0"/>
          <w:sz w:val="22"/>
        </w:rPr>
        <w:t>Cuando el Comité o cualquier área reciba información que razonablemente pueda corresponder a acoso sexual, deberá preservar la confidencialidad, abstenerse de promover conciliaciones o confrontaciones y activar de manera inmediata la Política de Prevención, Atención, Protección y Sanción del Acoso Sexual y el procedimiento especial adoptado por CODEMAK S.A.S.</w:t>
      </w:r>
    </w:p>
    <w:p>
      <w:pPr>
        <w:keepNext w:val="0"/>
        <w:spacing w:before="0" w:after="60" w:line="240" w:lineRule="auto"/>
        <w:jc w:val="both"/>
        <w:widowControl w:val="1"/>
      </w:pPr>
      <w:r>
        <w:rPr>
          <w:rFonts w:ascii="Arial" w:hAnsi="Arial" w:eastAsia="Arial"/>
          <w:b w:val="0"/>
          <w:i w:val="0"/>
          <w:sz w:val="22"/>
        </w:rPr>
        <w:t>El Comité podrá participar únicamente en actividades generales de prevención, sensibilización y promoción del respeto, pero no podrá recibir para trámite, investigar, conciliar, decidir o sancionar casos concretos de presunto acoso sexual.</w:t>
      </w:r>
    </w:p>
    <w:p>
      <w:pPr>
        <w:keepNext/>
        <w:spacing w:before="160" w:after="100" w:line="240" w:lineRule="auto"/>
        <w:jc w:val="center"/>
        <w:widowControl w:val="1"/>
      </w:pPr>
      <w:r>
        <w:rPr>
          <w:rFonts w:ascii="Arial" w:hAnsi="Arial" w:eastAsia="Arial"/>
          <w:b/>
          <w:i w:val="0"/>
          <w:sz w:val="23"/>
        </w:rPr>
        <w:t>21. RELACIÓN CON EL PROCEDIMIENTO DISCIPLINARIO Y LAS AUTORIDADES</w:t>
      </w:r>
    </w:p>
    <w:p>
      <w:pPr>
        <w:keepNext w:val="0"/>
        <w:spacing w:before="0" w:after="60" w:line="240" w:lineRule="auto"/>
        <w:jc w:val="both"/>
        <w:widowControl w:val="1"/>
      </w:pPr>
      <w:r>
        <w:rPr>
          <w:rFonts w:ascii="Arial" w:hAnsi="Arial" w:eastAsia="Arial"/>
          <w:b w:val="0"/>
          <w:i w:val="0"/>
          <w:sz w:val="22"/>
        </w:rPr>
        <w:t>La actuación del Comité de Convivencia Laboral es independiente del procedimiento disciplinario. Cuando los hechos puedan constituir incumplimiento de obligaciones laborales o falta disciplinaria, la Alta Dirección o Talento Humano podrá activar el procedimiento correspondiente, garantizando el debido proceso, el derecho de defensa, la contradicción, la proporcionalidad y la valoración objetiva de las pruebas.</w:t>
      </w:r>
    </w:p>
    <w:p>
      <w:pPr>
        <w:keepNext w:val="0"/>
        <w:spacing w:before="0" w:after="60" w:line="240" w:lineRule="auto"/>
        <w:jc w:val="both"/>
        <w:widowControl w:val="1"/>
      </w:pPr>
      <w:r>
        <w:rPr>
          <w:rFonts w:ascii="Arial" w:hAnsi="Arial" w:eastAsia="Arial"/>
          <w:b w:val="0"/>
          <w:i w:val="0"/>
          <w:sz w:val="22"/>
        </w:rPr>
        <w:t>Las decisiones disciplinarias no serán adoptadas por el Comité de Convivencia Laboral y no podrán fundamentarse exclusivamente en apreciaciones no verificadas o en la sola presentación de una queja.</w:t>
      </w:r>
    </w:p>
    <w:p>
      <w:pPr>
        <w:keepNext w:val="0"/>
        <w:spacing w:before="0" w:after="60" w:line="240" w:lineRule="auto"/>
        <w:jc w:val="both"/>
        <w:widowControl w:val="1"/>
      </w:pPr>
      <w:r>
        <w:rPr>
          <w:rFonts w:ascii="Arial" w:hAnsi="Arial" w:eastAsia="Arial"/>
          <w:b w:val="0"/>
          <w:i w:val="0"/>
          <w:sz w:val="22"/>
        </w:rPr>
        <w:t>La política y el procedimiento interno no excluyen la competencia del Ministerio del Trabajo, de los inspectores de trabajo, de la jurisdicción laboral ni de las demás autoridades administrativas o judiciales.</w:t>
      </w:r>
    </w:p>
    <w:p>
      <w:pPr>
        <w:keepNext/>
        <w:spacing w:before="160" w:after="100" w:line="240" w:lineRule="auto"/>
        <w:jc w:val="center"/>
        <w:widowControl w:val="1"/>
      </w:pPr>
      <w:r>
        <w:rPr>
          <w:rFonts w:ascii="Arial" w:hAnsi="Arial" w:eastAsia="Arial"/>
          <w:b/>
          <w:i w:val="0"/>
          <w:sz w:val="23"/>
        </w:rPr>
        <w:t>22. DIVULGACIÓN, CAPACITACIÓN Y SEGUIMIENTO</w:t>
      </w:r>
    </w:p>
    <w:p>
      <w:pPr>
        <w:keepNext w:val="0"/>
        <w:spacing w:before="0" w:after="60" w:line="240" w:lineRule="auto"/>
        <w:jc w:val="both"/>
        <w:widowControl w:val="1"/>
      </w:pPr>
      <w:r>
        <w:rPr>
          <w:rFonts w:ascii="Arial" w:hAnsi="Arial" w:eastAsia="Arial"/>
          <w:b w:val="0"/>
          <w:i w:val="0"/>
          <w:sz w:val="22"/>
        </w:rPr>
        <w:t>La presente política será divulgada mediante la inducción, reinducción, capacitaciones, reuniones institucionales, carteleras, medios digitales, correos corporativos, código QR y demás canales definidos por CODEMAK S.A.S.</w:t>
      </w:r>
    </w:p>
    <w:p>
      <w:pPr>
        <w:keepNext w:val="0"/>
        <w:spacing w:before="0" w:after="60" w:line="240" w:lineRule="auto"/>
        <w:jc w:val="both"/>
        <w:widowControl w:val="1"/>
      </w:pPr>
      <w:r>
        <w:rPr>
          <w:rFonts w:ascii="Arial" w:hAnsi="Arial" w:eastAsia="Arial"/>
          <w:b w:val="0"/>
          <w:i w:val="0"/>
          <w:sz w:val="22"/>
        </w:rPr>
        <w:t>Talento Humano y el SG-SST verificarán anualmente su implementación mediante indicadores relacionados con: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Cobertura de divulgación e inducción.</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Capacitaciones ejecutadas y población participante.</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Conformación, capacitación y funcionamiento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Número de reuniones ordinarias y extraordinarias.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Quejas recibidas, gestionadas, cerradas y en seguimiento, en forma anonimizada.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Cumplimiento de los términos del procedimiento.</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Recomendaciones emitidas e implementadas.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Acciones preventivas y correctivas desarrolladas.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Resultados de la evaluación e intervención de factores de riesgo psicosocial.</w:t>
      </w:r>
    </w:p>
    <w:p>
      <w:pPr>
        <w:keepNext/>
        <w:spacing w:before="160" w:after="100" w:line="240" w:lineRule="auto"/>
        <w:jc w:val="center"/>
        <w:widowControl w:val="1"/>
      </w:pPr>
      <w:r>
        <w:rPr>
          <w:rFonts w:ascii="Arial" w:hAnsi="Arial" w:eastAsia="Arial"/>
          <w:b/>
          <w:i w:val="0"/>
          <w:sz w:val="23"/>
        </w:rPr>
        <w:t>23. REGISTROS Y EVIDENCIAS DE CUMPLIMIENTO</w:t>
      </w:r>
    </w:p>
    <w:p>
      <w:pPr>
        <w:keepNext w:val="0"/>
        <w:spacing w:before="0" w:after="60" w:line="240" w:lineRule="auto"/>
        <w:jc w:val="both"/>
        <w:widowControl w:val="1"/>
      </w:pPr>
      <w:r>
        <w:rPr>
          <w:rFonts w:ascii="Arial" w:hAnsi="Arial" w:eastAsia="Arial"/>
          <w:b w:val="0"/>
          <w:i w:val="0"/>
          <w:sz w:val="22"/>
        </w:rPr>
        <w:t>CODEMAK S.A.S. conservará, de acuerdo con los términos legales y sus tablas de retención documental, las evidencias necesarias para demostrar la implementación de esta política, entre ellas: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Política aprobada, firmada, publicada y control de cambios.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Actos de convocatoria, elección, designación, conformación e instalación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Reglamento interno del Comité y compromisos de confidencialidad.</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Actas de reuniones ordinarias y extraordinarias.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Registros de capacitación y asistencia técnica.</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Evidencias de divulgación de canales y rutas.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Registros confidenciales de quejas, actuaciones y seguimientos.</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Informes trimestrales y anuales del Comité.</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Planes de prevención, acciones de mejora e indicadores del SG-SST.</w:t>
      </w:r>
    </w:p>
    <w:p>
      <w:pPr>
        <w:keepNext w:val="0"/>
        <w:spacing w:before="0" w:after="40" w:line="240" w:lineRule="auto"/>
        <w:ind w:left="360" w:hanging="245"/>
        <w:jc w:val="both"/>
        <w:widowControl w:val="1"/>
      </w:pPr>
      <w:r>
        <w:rPr>
          <w:rFonts w:ascii="Arial" w:hAnsi="Arial" w:eastAsia="Arial"/>
          <w:b w:val="0"/>
          <w:i w:val="0"/>
          <w:sz w:val="22"/>
        </w:rPr>
        <w:t xml:space="preserve">• </w:t>
      </w:r>
      <w:r>
        <w:rPr>
          <w:rFonts w:ascii="Arial" w:hAnsi="Arial" w:eastAsia="Arial"/>
          <w:b w:val="0"/>
          <w:i w:val="0"/>
          <w:sz w:val="22"/>
        </w:rPr>
        <w:t>Solicitudes y soportes de acompañamiento de la ARL.</w:t>
      </w:r>
    </w:p>
    <w:p>
      <w:pPr>
        <w:keepNext/>
        <w:spacing w:before="160" w:after="100" w:line="240" w:lineRule="auto"/>
        <w:jc w:val="center"/>
        <w:widowControl w:val="1"/>
      </w:pPr>
      <w:r>
        <w:rPr>
          <w:rFonts w:ascii="Arial" w:hAnsi="Arial" w:eastAsia="Arial"/>
          <w:b/>
          <w:i w:val="0"/>
          <w:sz w:val="23"/>
        </w:rPr>
        <w:t>24. INTERPRETACIÓN, ACTUALIZACIÓN Y VIGENCIA</w:t>
      </w:r>
    </w:p>
    <w:p>
      <w:pPr>
        <w:keepNext w:val="0"/>
        <w:spacing w:before="0" w:after="60" w:line="240" w:lineRule="auto"/>
        <w:jc w:val="both"/>
        <w:widowControl w:val="1"/>
      </w:pPr>
      <w:r>
        <w:rPr>
          <w:rFonts w:ascii="Arial" w:hAnsi="Arial" w:eastAsia="Arial"/>
          <w:b w:val="0"/>
          <w:i w:val="0"/>
          <w:sz w:val="22"/>
        </w:rPr>
        <w:t>La presente política deberá interpretarse de manera armónica con la Constitución Política, la Ley 1010 de 2006, la Resolución 3461 de 2025, el Reglamento Interno de Trabajo, el SG-SST y las demás normas aplicables.</w:t>
      </w:r>
    </w:p>
    <w:p>
      <w:pPr>
        <w:keepNext w:val="0"/>
        <w:spacing w:before="0" w:after="60" w:line="240" w:lineRule="auto"/>
        <w:jc w:val="both"/>
        <w:widowControl w:val="1"/>
      </w:pPr>
      <w:r>
        <w:rPr>
          <w:rFonts w:ascii="Arial" w:hAnsi="Arial" w:eastAsia="Arial"/>
          <w:b w:val="0"/>
          <w:i w:val="0"/>
          <w:sz w:val="22"/>
        </w:rPr>
        <w:t>En caso de contradicción entre esta política y una disposición legal de carácter obligatorio, prevalecerá la norma superior vigente y CODEMAK S.A.S. realizará la actualización documental correspondiente.</w:t>
      </w:r>
    </w:p>
    <w:p>
      <w:pPr>
        <w:keepNext w:val="0"/>
        <w:spacing w:before="0" w:after="60" w:line="240" w:lineRule="auto"/>
        <w:jc w:val="both"/>
        <w:widowControl w:val="1"/>
      </w:pPr>
      <w:r>
        <w:rPr>
          <w:rFonts w:ascii="Arial" w:hAnsi="Arial" w:eastAsia="Arial"/>
          <w:b w:val="0"/>
          <w:i w:val="0"/>
          <w:sz w:val="22"/>
        </w:rPr>
        <w:t>La política será revisada como mínimo una vez al año y siempre que exista una modificación normativa, organizacional, procedimental o de riesgos que afecte su contenido.</w:t>
      </w:r>
    </w:p>
    <w:p>
      <w:pPr>
        <w:keepNext w:val="0"/>
        <w:spacing w:before="0" w:after="60" w:line="240" w:lineRule="auto"/>
        <w:jc w:val="both"/>
        <w:widowControl w:val="1"/>
      </w:pPr>
      <w:r>
        <w:rPr>
          <w:rFonts w:ascii="Arial" w:hAnsi="Arial" w:eastAsia="Arial"/>
          <w:b w:val="0"/>
          <w:i w:val="0"/>
          <w:sz w:val="22"/>
        </w:rPr>
        <w:t>La presente política entra en vigencia a partir de su aprobación por el Representante Legal y será de obligatorio cumplimiento para las personas comprendidas dentro de su alcance.</w:t>
      </w:r>
    </w:p>
    <w:p>
      <w:pPr>
        <w:widowControl w:val="1"/>
      </w:pPr>
    </w:p>
    <w:p>
      <w:pPr>
        <w:widowControl w:val="1"/>
      </w:pPr>
    </w:p>
    <w:p>
      <w:pPr>
        <w:spacing w:after="0"/>
        <w:jc w:val="center"/>
        <w:widowControl w:val="1"/>
      </w:pPr>
      <w:r>
        <w:drawing>
          <wp:inline xmlns:a="http://schemas.openxmlformats.org/drawingml/2006/main" xmlns:pic="http://schemas.openxmlformats.org/drawingml/2006/picture">
            <wp:extent cx="702978" cy="91440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702978" cy="914400"/>
                    </a:xfrm>
                    <a:prstGeom prst="rect"/>
                  </pic:spPr>
                </pic:pic>
              </a:graphicData>
            </a:graphic>
          </wp:inline>
        </w:drawing>
      </w:r>
    </w:p>
    <w:p>
      <w:pPr>
        <w:spacing w:after="0"/>
        <w:jc w:val="center"/>
        <w:widowControl w:val="1"/>
      </w:pPr>
      <w:r>
        <w:rPr>
          <w:rFonts w:ascii="Arial" w:hAnsi="Arial" w:eastAsia="Arial"/>
          <w:b w:val="0"/>
          <w:i w:val="0"/>
          <w:sz w:val="22"/>
        </w:rPr>
        <w:t>___________________________________________</w:t>
      </w:r>
    </w:p>
    <w:p>
      <w:pPr>
        <w:spacing w:after="0"/>
        <w:jc w:val="center"/>
        <w:widowControl w:val="1"/>
      </w:pPr>
      <w:r>
        <w:rPr>
          <w:rFonts w:ascii="Arial" w:hAnsi="Arial" w:eastAsia="Arial"/>
          <w:b/>
          <w:i w:val="0"/>
          <w:sz w:val="22"/>
        </w:rPr>
        <w:t>TOBÍAS BELTRÁN ÁVILA</w:t>
      </w:r>
    </w:p>
    <w:p>
      <w:pPr>
        <w:jc w:val="center"/>
        <w:widowControl w:val="1"/>
      </w:pPr>
      <w:r>
        <w:rPr>
          <w:rFonts w:ascii="Arial" w:hAnsi="Arial" w:eastAsia="Arial"/>
          <w:b w:val="0"/>
          <w:i w:val="0"/>
          <w:sz w:val="22"/>
        </w:rPr>
        <w:t>Representante Legal</w:t>
      </w:r>
    </w:p>
    <w:sectPr w:rsidR="00FC693F" w:rsidRPr="0006063C" w:rsidSect="00034616">
      <w:headerReference w:type="default" r:id="rId9"/>
      <w:pgSz w:w="12240" w:h="15840"/>
      <w:pgMar w:top="1123" w:right="1037" w:bottom="1037" w:left="1037"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fixed"/>
      <w:tblLook w:firstColumn="1" w:firstRow="1" w:lastColumn="0" w:lastRow="0" w:noHBand="0" w:noVBand="1" w:val="04A0"/>
    </w:tblPr>
    <w:tblGrid>
      <w:gridCol w:w="3384"/>
      <w:gridCol w:w="3384"/>
      <w:gridCol w:w="3384"/>
    </w:tblGrid>
    <w:tr>
      <w:tc>
        <w:tcPr>
          <w:tcW w:type="dxa" w:w="2880"/>
          <w:vAlign w:val="center"/>
          <w:tcMar>
            <w:top w:w="20" w:type="dxa"/>
            <w:start w:w="40" w:type="dxa"/>
            <w:bottom w:w="20" w:type="dxa"/>
            <w:end w:w="40" w:type="dxa"/>
          </w:tcMar>
          <w:vMerge w:val="restart"/>
          <w:tcBorders>
            <w:top w:val="single" w:sz="10" w:color="5B9E3C"/>
            <w:left w:val="single" w:sz="10" w:color="5B9E3C"/>
            <w:bottom w:val="single" w:sz="10" w:color="5B9E3C"/>
            <w:right w:val="single" w:sz="10" w:color="5B9E3C"/>
          </w:tcBorders>
        </w:tcPr>
        <w:p>
          <w:pPr>
            <w:jc w:val="center"/>
          </w:pPr>
          <w:r>
            <w:drawing>
              <wp:inline xmlns:a="http://schemas.openxmlformats.org/drawingml/2006/main" xmlns:pic="http://schemas.openxmlformats.org/drawingml/2006/picture">
                <wp:extent cx="1627632" cy="399739"/>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1627632" cy="399739"/>
                        </a:xfrm>
                        <a:prstGeom prst="rect"/>
                      </pic:spPr>
                    </pic:pic>
                  </a:graphicData>
                </a:graphic>
              </wp:inline>
            </w:drawing>
          </w:r>
        </w:p>
      </w:tc>
      <w:tc>
        <w:tcPr>
          <w:tcW w:type="dxa" w:w="4320"/>
          <w:vAlign w:val="center"/>
          <w:tcMar>
            <w:top w:w="20" w:type="dxa"/>
            <w:start w:w="40" w:type="dxa"/>
            <w:bottom w:w="20" w:type="dxa"/>
            <w:end w:w="40" w:type="dxa"/>
          </w:tcMar>
          <w:vMerge w:val="restart"/>
          <w:tcBorders>
            <w:top w:val="single" w:sz="10" w:color="5B9E3C"/>
            <w:left w:val="single" w:sz="10" w:color="5B9E3C"/>
            <w:bottom w:val="single" w:sz="10" w:color="5B9E3C"/>
            <w:right w:val="single" w:sz="10" w:color="5B9E3C"/>
          </w:tcBorders>
        </w:tcPr>
        <w:p>
          <w:pPr>
            <w:jc w:val="center"/>
          </w:pPr>
          <w:r>
            <w:rPr>
              <w:rFonts w:ascii="Arial" w:hAnsi="Arial" w:eastAsia="Arial"/>
              <w:b/>
              <w:i w:val="0"/>
              <w:sz w:val="21"/>
            </w:rPr>
            <w:t>POLÍTICA DE PREVENCIÓN DEL</w:t>
            <w:br/>
            <w:t>ACOSO LABORAL</w:t>
          </w:r>
        </w:p>
      </w:tc>
      <w:tc>
        <w:tcPr>
          <w:tcW w:type="dxa" w:w="2952"/>
          <w:vAlign w:val="center"/>
          <w:tcMar>
            <w:top w:w="20" w:type="dxa"/>
            <w:start w:w="40" w:type="dxa"/>
            <w:bottom w:w="20" w:type="dxa"/>
            <w:end w:w="40" w:type="dxa"/>
          </w:tcMar>
          <w:tcBorders>
            <w:top w:val="single" w:sz="10" w:color="5B9E3C"/>
            <w:left w:val="single" w:sz="10" w:color="5B9E3C"/>
            <w:bottom w:val="single" w:sz="10" w:color="5B9E3C"/>
            <w:right w:val="single" w:sz="10" w:color="5B9E3C"/>
          </w:tcBorders>
        </w:tcPr>
        <w:p>
          <w:pPr>
            <w:jc w:val="left"/>
          </w:pPr>
          <w:r>
            <w:rPr>
              <w:rFonts w:ascii="Arial" w:hAnsi="Arial" w:eastAsia="Arial"/>
              <w:b/>
              <w:i w:val="0"/>
              <w:sz w:val="20"/>
            </w:rPr>
            <w:t>Código: CDK-PO-RH-007</w:t>
          </w:r>
        </w:p>
      </w:tc>
    </w:tr>
    <w:tr>
      <w:tc>
        <w:tcPr>
          <w:tcW w:type="dxa" w:w="2880"/>
          <w:vAlign w:val="center"/>
          <w:tcMar>
            <w:top w:w="20" w:type="dxa"/>
            <w:start w:w="40" w:type="dxa"/>
            <w:bottom w:w="20" w:type="dxa"/>
            <w:end w:w="40" w:type="dxa"/>
          </w:tcMar>
          <w:vMerge/>
          <w:tcBorders>
            <w:top w:val="single" w:sz="10" w:color="5B9E3C"/>
            <w:left w:val="single" w:sz="10" w:color="5B9E3C"/>
            <w:bottom w:val="single" w:sz="10" w:color="5B9E3C"/>
            <w:right w:val="single" w:sz="10" w:color="5B9E3C"/>
          </w:tcBorders>
        </w:tcPr>
        <w:p/>
      </w:tc>
      <w:tc>
        <w:tcPr>
          <w:tcW w:type="dxa" w:w="4320"/>
          <w:vAlign w:val="center"/>
          <w:tcMar>
            <w:top w:w="20" w:type="dxa"/>
            <w:start w:w="40" w:type="dxa"/>
            <w:bottom w:w="20" w:type="dxa"/>
            <w:end w:w="40" w:type="dxa"/>
          </w:tcMar>
          <w:vMerge/>
          <w:tcBorders>
            <w:top w:val="single" w:sz="10" w:color="5B9E3C"/>
            <w:left w:val="single" w:sz="10" w:color="5B9E3C"/>
            <w:bottom w:val="single" w:sz="10" w:color="5B9E3C"/>
            <w:right w:val="single" w:sz="10" w:color="5B9E3C"/>
          </w:tcBorders>
        </w:tcPr>
        <w:p/>
      </w:tc>
      <w:tc>
        <w:tcPr>
          <w:tcW w:type="dxa" w:w="2952"/>
          <w:vAlign w:val="center"/>
          <w:tcMar>
            <w:top w:w="20" w:type="dxa"/>
            <w:start w:w="40" w:type="dxa"/>
            <w:bottom w:w="20" w:type="dxa"/>
            <w:end w:w="40" w:type="dxa"/>
          </w:tcMar>
          <w:tcBorders>
            <w:top w:val="single" w:sz="10" w:color="5B9E3C"/>
            <w:left w:val="single" w:sz="10" w:color="5B9E3C"/>
            <w:bottom w:val="single" w:sz="10" w:color="5B9E3C"/>
            <w:right w:val="single" w:sz="10" w:color="5B9E3C"/>
          </w:tcBorders>
        </w:tcPr>
        <w:p>
          <w:pPr>
            <w:jc w:val="left"/>
          </w:pPr>
          <w:r>
            <w:rPr>
              <w:rFonts w:ascii="Arial" w:hAnsi="Arial" w:eastAsia="Arial"/>
              <w:b/>
              <w:i w:val="0"/>
              <w:sz w:val="20"/>
            </w:rPr>
            <w:t>Versión: 3</w:t>
          </w:r>
        </w:p>
      </w:tc>
    </w:tr>
    <w:tr>
      <w:tc>
        <w:tcPr>
          <w:tcW w:type="dxa" w:w="2880"/>
          <w:vAlign w:val="center"/>
          <w:tcMar>
            <w:top w:w="20" w:type="dxa"/>
            <w:start w:w="40" w:type="dxa"/>
            <w:bottom w:w="20" w:type="dxa"/>
            <w:end w:w="40" w:type="dxa"/>
          </w:tcMar>
          <w:vMerge/>
          <w:tcBorders>
            <w:top w:val="single" w:sz="10" w:color="5B9E3C"/>
            <w:left w:val="single" w:sz="10" w:color="5B9E3C"/>
            <w:bottom w:val="single" w:sz="10" w:color="5B9E3C"/>
            <w:right w:val="single" w:sz="10" w:color="5B9E3C"/>
          </w:tcBorders>
        </w:tcPr>
        <w:p/>
      </w:tc>
      <w:tc>
        <w:tcPr>
          <w:tcW w:type="dxa" w:w="4320"/>
          <w:vAlign w:val="center"/>
          <w:tcMar>
            <w:top w:w="20" w:type="dxa"/>
            <w:start w:w="40" w:type="dxa"/>
            <w:bottom w:w="20" w:type="dxa"/>
            <w:end w:w="40" w:type="dxa"/>
          </w:tcMar>
          <w:vMerge/>
          <w:tcBorders>
            <w:top w:val="single" w:sz="10" w:color="5B9E3C"/>
            <w:left w:val="single" w:sz="10" w:color="5B9E3C"/>
            <w:bottom w:val="single" w:sz="10" w:color="5B9E3C"/>
            <w:right w:val="single" w:sz="10" w:color="5B9E3C"/>
          </w:tcBorders>
        </w:tcPr>
        <w:p/>
      </w:tc>
      <w:tc>
        <w:tcPr>
          <w:tcW w:type="dxa" w:w="2952"/>
          <w:vAlign w:val="center"/>
          <w:tcMar>
            <w:top w:w="20" w:type="dxa"/>
            <w:start w:w="40" w:type="dxa"/>
            <w:bottom w:w="20" w:type="dxa"/>
            <w:end w:w="40" w:type="dxa"/>
          </w:tcMar>
          <w:tcBorders>
            <w:top w:val="single" w:sz="10" w:color="5B9E3C"/>
            <w:left w:val="single" w:sz="10" w:color="5B9E3C"/>
            <w:bottom w:val="single" w:sz="10" w:color="5B9E3C"/>
            <w:right w:val="single" w:sz="10" w:color="5B9E3C"/>
          </w:tcBorders>
        </w:tcPr>
        <w:p>
          <w:pPr>
            <w:jc w:val="left"/>
          </w:pPr>
          <w:r>
            <w:rPr>
              <w:rFonts w:ascii="Arial" w:hAnsi="Arial" w:eastAsia="Arial"/>
              <w:b/>
              <w:i w:val="0"/>
              <w:sz w:val="20"/>
            </w:rPr>
            <w:t>Aprobación: Julio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