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ROSTAND</w:t>
      </w:r>
    </w:p>
    <w:p>
      <w:pPr>
        <w:spacing w:line="240" w:lineRule="auto" w:before="0" w:after="0"/>
        <w:jc w:val="right"/>
      </w:pPr>
      <w:r>
        <w:t>7 rue des Ecoles Annecy le Vieux</w:t>
      </w:r>
    </w:p>
    <w:p>
      <w:pPr>
        <w:spacing w:line="240" w:lineRule="auto" w:before="0" w:after="0"/>
        <w:jc w:val="right"/>
      </w:pPr>
      <w:r>
        <w:t>74940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variés, qu’il s’agisse de bornage, de division ou d’aménagement durable.</w:t>
      </w:r>
    </w:p>
    <w:p>
      <w:pPr>
        <w:spacing w:line="276" w:lineRule="auto" w:before="0" w:after="160"/>
        <w:jc w:val="both"/>
      </w:pPr>
      <w:r>
        <w:t>Le Cabinet ROSTAND se distingue par son ancrage historique à Annecy et sa double compétence en « mesure et droit ». Votre capacité à intervenir sur des projets divers — des aménagements de voies vertes aux relevés 3D complexes — témoigne d'une grande polyvalence. De plus, votre engagement auprès des collectivités et des grands comptes souligne une expertise rigoureuse dans la gestion de dossiers structurants, tels que les lotissements ou les procédures d’urbanisme exigeantes.</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pu appréhender les spécificités du travail de terrain. Ma maîtrise des outils spatiaux m’a permis d’assimiler rapidement les méthodes de production, de l’acquisition 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