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GEHOM</w:t>
      </w:r>
    </w:p>
    <w:p>
      <w:pPr>
        <w:spacing w:line="240" w:lineRule="auto" w:before="0" w:after="0"/>
        <w:jc w:val="right"/>
      </w:pPr>
      <w:r>
        <w:t>6, avenue du Pont Neuf CRAN GEVRIER</w:t>
      </w:r>
    </w:p>
    <w:p>
      <w:pPr>
        <w:spacing w:line="240" w:lineRule="auto" w:before="0" w:after="0"/>
        <w:jc w:val="right"/>
      </w:pPr>
      <w:r>
        <w:t>74960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GEHOM se distingue par son ancrage historique sur le bassin annécien, alliant transmission d'un savoir-faire hérité et volonté de modernisation. Sa présence sur le territoire haut-savoyard témoigne d'une maîtrise polyvalente des enjeux urbains et fonciers. Le cabinet allie approche humaine et probité rigoureuse, visant à simplifier les démarches complexes tout en garantissant une sécurité juridique absolue. Cette volonté de rendre accessibles des compétences techniques pointues tout en préservant une atmosphère de travail valorisante constitue un cadre d'exercice exemplaire pour mon apprentissage.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