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Robin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Robin,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échelle humaine, privilégiant une proximité réelle avec la clientèle et une connaissance approfondie de chaque dossier. Cette approche est complétée par une exigence de rigueur où chaque document est supervisé pour respecter les règles de l'art. Votre structure parvient à concilier un patrimoine historique de 75 ans d'archives avec une modernité technique affirmée, notamment par l'usage de scanners laser 3D et de stations robotisées. Enfin, votre capacité à collaborer avec des bureaux d'études spécialisés témoigne d'une vision transversale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Robin,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