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Xavier Jacques Lepoutre</w:t>
      </w:r>
    </w:p>
    <w:p>
      <w:pPr>
        <w:spacing w:line="240" w:lineRule="auto" w:before="0" w:after="0"/>
        <w:jc w:val="right"/>
      </w:pPr>
      <w:r>
        <w:t>SELARL AGATE</w:t>
      </w:r>
    </w:p>
    <w:p>
      <w:pPr>
        <w:spacing w:line="240" w:lineRule="auto" w:before="0" w:after="0"/>
        <w:jc w:val="right"/>
      </w:pPr>
      <w:r>
        <w:t>20 rue Paul Helbronner</w:t>
      </w:r>
    </w:p>
    <w:p>
      <w:pPr>
        <w:spacing w:line="240" w:lineRule="auto" w:before="0" w:after="0"/>
        <w:jc w:val="right"/>
      </w:pPr>
      <w:r>
        <w:t>38100 GRENOBLE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Lepoutre,</w:t>
      </w:r>
    </w:p>
    <w:p>
      <w:pPr>
        <w:spacing w:line="276" w:lineRule="auto" w:before="0" w:after="160"/>
        <w:jc w:val="both"/>
      </w:pPr>
      <w:r>
        <w:t>Actuellement engagé dans une reconversion vers le métier de géomètre-expert, je prépare ma candidature à la session DPLG d'octobre 2026. Éligible au titre de mon parcours, je recherche un poste de collaborateur constituant le cadre de mon stage professionnel de deux ans. À la suite d’un stage d’observation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L'implantation multi-sites de la SELARL AGATE, couvrant des zones urbaines comme Villeurbanne et des territoires ruraux en Isère, témoigne d'une présence ancrée sur une grande diversité de périmètres. Cette structure souligne une expertise polyvalente, capable de répondre aux enjeux spécifiques de chaque zone géographique, qu'il s'agisse de projets d'aménagement complexes ou de missions plus localisées, tout en assurant une cohérence globale de service et une proximité avec les acteurs du territoire.</w:t>
      </w:r>
    </w:p>
    <w:p>
      <w:pPr>
        <w:spacing w:line="276" w:lineRule="auto" w:before="0" w:after="160"/>
        <w:jc w:val="both"/>
      </w:pPr>
      <w:r>
        <w:t>En m'adressant à la SELARL AGATE,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Lepoutre,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