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Caenen</w:t>
      </w:r>
    </w:p>
    <w:p>
      <w:pPr>
        <w:spacing w:line="240" w:lineRule="auto" w:before="0" w:after="0"/>
        <w:jc w:val="right"/>
      </w:pPr>
      <w:r>
        <w:t>SELARL GEOVAL</w:t>
      </w:r>
    </w:p>
    <w:p>
      <w:pPr>
        <w:spacing w:line="240" w:lineRule="auto" w:before="0" w:after="0"/>
        <w:jc w:val="right"/>
      </w:pPr>
      <w:r>
        <w:t>38 rue de Sarliève</w:t>
      </w:r>
    </w:p>
    <w:p>
      <w:pPr>
        <w:spacing w:line="240" w:lineRule="auto" w:before="0" w:after="0"/>
        <w:jc w:val="right"/>
      </w:pPr>
      <w:r>
        <w:t>63800 COURNON D AUVERGNE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Caenen,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sa présence multi-sites, couvrant une diversité de territoires au sein de la région. Cette implantation géographique étendue témoigne d'une maîtrise solide du cœur de métier et d'une capacité à intervenir sur des problématiques variées, tant en milieu urbain que rural. La pérennité de la SELARL GEOVAL, ancrée depuis 1987, souligne une expertise établie et une gestion structurée des enjeux fonciers locaux.</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Caenen,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