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Marie-Claire Grappe (Bettinelli)</w:t>
      </w:r>
    </w:p>
    <w:p>
      <w:pPr>
        <w:spacing w:line="240" w:lineRule="auto" w:before="0" w:after="0"/>
        <w:jc w:val="right"/>
      </w:pPr>
      <w:r>
        <w:t>Cabinet BETTINELLI-GRAPPE Marie-Claire</w:t>
      </w:r>
    </w:p>
    <w:p>
      <w:pPr>
        <w:spacing w:line="240" w:lineRule="auto" w:before="0" w:after="0"/>
        <w:jc w:val="right"/>
      </w:pPr>
      <w:r>
        <w:t>14 rue des Moulinots</w:t>
      </w:r>
    </w:p>
    <w:p>
      <w:pPr>
        <w:spacing w:line="240" w:lineRule="auto" w:before="0" w:after="0"/>
        <w:jc w:val="right"/>
      </w:pPr>
      <w:r>
        <w:t>25500 MORTEAU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au sein d'une structure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établi depuis 1994, se distingue par une structure à taille humaine favorisant une maîtrise approfondie du cœur de métier. Cette dimension de proximité, alliée à une solide expérience historique, témoigne d'un accompagnement de qualité et d'une connaissance fine des problématiques foncières locales. Cette organisation me semble idéale pour appréhender la diversité des missions de géomètre-expert avec une approche rigoureuse et personnalisée.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