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Maxime Balland</w:t>
      </w:r>
    </w:p>
    <w:p>
      <w:pPr>
        <w:spacing w:line="240" w:lineRule="auto" w:before="0" w:after="0"/>
        <w:jc w:val="right"/>
      </w:pPr>
      <w:r>
        <w:t>SAS BALLAND Géomètre-Expert et Associé</w:t>
      </w:r>
    </w:p>
    <w:p>
      <w:pPr>
        <w:spacing w:line="240" w:lineRule="auto" w:before="0" w:after="0"/>
        <w:jc w:val="right"/>
      </w:pPr>
      <w:r>
        <w:t>33 rue des Arbues</w:t>
      </w:r>
    </w:p>
    <w:p>
      <w:pPr>
        <w:spacing w:line="240" w:lineRule="auto" w:before="0" w:after="0"/>
        <w:jc w:val="right"/>
      </w:pPr>
      <w:r>
        <w:t>25600 VIEUX CHARMONT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 et de contribuer activement à vos projets.</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 Cette double exigence, alliant précision millimétrique et analyse juridique fine, constitue le cœur même de ma motivation professionnelle.</w:t>
      </w:r>
    </w:p>
    <w:p>
      <w:pPr>
        <w:spacing w:line="276" w:lineRule="auto" w:before="0" w:after="160"/>
        <w:jc w:val="both"/>
      </w:pPr>
      <w:r>
        <w:t>Votre cabinet se distingue par une offre pluridisciplinaire alliant les fondamentaux du foncier — comme le bornage et la gestion des copropriétés — à une maîtrise avancée des technologies de pointe. Votre intégration de l'acquisition 3D, de la modélisation BIM et des relevés haute précision témoigne d'une volonté réelle de moderniser les outils de mesure tout en assurant un accompagnement complet aux collectivités et aux professionnels du territoire. Cette approche innovante et complète est pour moi une garantie de qualité et de professionnalisme.</w:t>
      </w:r>
    </w:p>
    <w:p>
      <w:pPr>
        <w:spacing w:line="276" w:lineRule="auto" w:before="0" w:after="160"/>
        <w:jc w:val="both"/>
      </w:pPr>
      <w:r>
        <w:t>Mon parcours m'a doté d'une forte culture de la donnée spatiale (topographie, modélisation) et d'une solide capacité d'analyse face à des problématiques complexes. Mon objectif est de mettre cette force technique au service de vos opérations de topographie et d'urbanisme, tout en mobilisant ma méthode de chercheur pour assimiler rapidement le cadre réglementaire complexe de la profession. Je conçois ce stage comme un véritable échange entre la rigueur de la donnée brute et l'expertise du droit foncier appliqué à chaque dossier.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jusqu’à la restitution graphique finale. Ces semaines ont confirmé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