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Gaudry</w:t>
      </w:r>
    </w:p>
    <w:p>
      <w:pPr>
        <w:spacing w:line="240" w:lineRule="auto" w:before="0" w:after="0"/>
        <w:jc w:val="right"/>
      </w:pPr>
      <w:r>
        <w:t>Sarl BGM géomètre-expert</w:t>
      </w:r>
    </w:p>
    <w:p>
      <w:pPr>
        <w:spacing w:line="240" w:lineRule="auto" w:before="0" w:after="0"/>
        <w:jc w:val="right"/>
      </w:pPr>
      <w:r>
        <w:t>26, boulevard Jean Jaurès</w:t>
      </w:r>
    </w:p>
    <w:p>
      <w:pPr>
        <w:spacing w:line="240" w:lineRule="auto" w:before="0" w:after="0"/>
        <w:jc w:val="right"/>
      </w:pPr>
      <w:r>
        <w:t>35300 FOUGERES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et règles d’urbanisme pour sécuriser des projets, qu’il s’agisse de bornage, de division ou d’aménagement durable.</w:t>
      </w:r>
    </w:p>
    <w:p>
      <w:pPr>
        <w:spacing w:line="276" w:lineRule="auto" w:before="0" w:after="160"/>
        <w:jc w:val="both"/>
      </w:pPr>
      <w:r>
        <w:t>Votre cabinet se distingue par un ancrage territorial fort et une expérience de quarante années, garantissant une connaissance approfondie des spécificités foncières locales. L'identité familiale de BGM Géomètre-Expert, alliée à une structure à taille humaine, témoigne d'une volonté constante de maintenir une proximité réelle et une qualité de service personnalisée. Par ailleurs, votre développement récent, via la reprise du Cabinet Le Tallec, illustre un dynamisme alliant préservation d'un savoir-faire historique et expansion maîtrisée sur le secteur breton.</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J'y ai notamment mesuré que les outils techniques ne prennent leur pleine valeur que lorsqu’ils appuient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Gaudry,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