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Antoine Cremmel</w:t>
      </w:r>
    </w:p>
    <w:p>
      <w:pPr>
        <w:spacing w:line="240" w:lineRule="auto" w:before="0" w:after="0"/>
        <w:jc w:val="right"/>
      </w:pPr>
      <w:r>
        <w:t>Cabinet LAMBERT et ASSOCIES SELARL</w:t>
      </w:r>
    </w:p>
    <w:p>
      <w:pPr>
        <w:spacing w:line="240" w:lineRule="auto" w:before="0" w:after="0"/>
        <w:jc w:val="right"/>
      </w:pPr>
      <w:r>
        <w:t>43 avenue du Général de Gaulle</w:t>
      </w:r>
    </w:p>
    <w:p>
      <w:pPr>
        <w:spacing w:line="240" w:lineRule="auto" w:before="0" w:after="0"/>
        <w:jc w:val="right"/>
      </w:pPr>
      <w:r>
        <w:t>57400 SARREBOURG</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Cremmel,</w:t>
      </w:r>
    </w:p>
    <w:p>
      <w:pPr>
        <w:spacing w:line="276" w:lineRule="auto" w:before="0" w:after="160"/>
        <w:jc w:val="both"/>
      </w:pPr>
      <w:r>
        <w:t>Actuellement engagé dans une reconversion vers le métier de géomètre-expert, je prépare le DPLG d'octobre 2026. L’Ordre ayant confirmé l’éligibilité de mon parcours, je recherche un poste de collaborateur pour mon stage professionnel de deux ans. Suite à un stage d’observation instructif chez Monsieur Pascal Vailles (Muret),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Lambert &amp; Associés se distingue par une présence historique de plus de 40 ans dans le Grand-Est, ancrée dans une approche transversale du foncier. La diversité de vos activités, allant de l'aménagement foncier à la maîtrise d'œuvre en VRD, témoigne d'une capacité à accompagner des projets complexes. Cette expertise globale et votre volonté d'innover pour les territoires confirment votre position de professionnel incontournable auprès des collectivités, entreprises et particuliers.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technique au service de vos opérations d’aménagement, tout en mobilisant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découvert les spécificités du travail de terrain. Ma maîtrise des données spatiales m’a permis d’assimiler rapidement les méthodes de production, de l’acquisition à la restitution graphique. Ces semaines ont confirmé que les outils techniques ne prennent leur pleine valeur qu'en appuyant un raisonnement juridique. Conscient que la maîtrise opérationnelle s’acquiert par la pratique,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Cremmel,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