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Thierry Breton</w:t>
      </w:r>
    </w:p>
    <w:p>
      <w:pPr>
        <w:spacing w:line="240" w:lineRule="auto" w:before="0" w:after="0"/>
        <w:jc w:val="right"/>
      </w:pPr>
      <w:r>
        <w:t>Cabinet PIECHOWSKI LEBLANC BRETON</w:t>
      </w:r>
    </w:p>
    <w:p>
      <w:pPr>
        <w:spacing w:line="240" w:lineRule="auto" w:before="0" w:after="0"/>
        <w:jc w:val="right"/>
      </w:pPr>
      <w:r>
        <w:t>42 bis rue de la Paix</w:t>
      </w:r>
    </w:p>
    <w:p>
      <w:pPr>
        <w:spacing w:line="240" w:lineRule="auto" w:before="0" w:after="0"/>
        <w:jc w:val="right"/>
      </w:pPr>
      <w:r>
        <w:t>10000 TROYES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sur plusieurs territoires, de Troyes à Nogent-sur-Seine en passant par Châlons-en-Champagne, offrant une diversité de contextes urbains et ruraux. Cette implantation multisites témoigne d'une expertise de proximité et d'une capacité à répondre à des enjeux fonciers variés. Par ailleurs, votre démarche de modernisation numérique et votre souci de transparence vis-à-vis des clients soulignent une volonté d'évolution et une recherche de qualité, garantissant une gestion rigoureuse et sécurisée des données sensibles.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la réalité du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Breton,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