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Gregory Arnould</w:t>
      </w:r>
    </w:p>
    <w:p>
      <w:pPr>
        <w:spacing w:line="240" w:lineRule="auto" w:before="0" w:after="0"/>
        <w:jc w:val="right"/>
      </w:pPr>
      <w:r>
        <w:t>SCP ARNOULD-JACQUOT</w:t>
      </w:r>
    </w:p>
    <w:p>
      <w:pPr>
        <w:spacing w:line="240" w:lineRule="auto" w:before="0" w:after="0"/>
        <w:jc w:val="right"/>
      </w:pPr>
      <w:r>
        <w:t>97 rue de l'Hôtel de Ville</w:t>
      </w:r>
    </w:p>
    <w:p>
      <w:pPr>
        <w:spacing w:line="240" w:lineRule="auto" w:before="0" w:after="0"/>
        <w:jc w:val="right"/>
      </w:pPr>
      <w:r>
        <w:t>54390 FROUARD</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1988, témoigne d'une solide assise et d'une maîtrise éprouvée du cœur de métier. La pérennité de votre structure et la diversité des missions menées par votre équipe suggèrent une expertise ancrée dans la réalité du terrain et une gestion rigoureuse des problématiques foncières locales. Votre organisation offre un cadre propice à une pratique exigeante où la précision technique et la sécurité juridique constituent les piliers de chaque 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