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du cabinet GRAFF-KIEHL</w:t>
      </w:r>
    </w:p>
    <w:p>
      <w:pPr>
        <w:spacing w:line="240" w:lineRule="auto" w:before="0" w:after="0"/>
        <w:jc w:val="right"/>
      </w:pPr>
      <w:r>
        <w:t>4 Boulevard de la Dordogne BP 60001</w:t>
      </w:r>
    </w:p>
    <w:p>
      <w:pPr>
        <w:spacing w:line="240" w:lineRule="auto" w:before="0" w:after="0"/>
        <w:jc w:val="right"/>
      </w:pPr>
      <w:r>
        <w:t>67001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une expérience enrichissante au sein du cabinet de Monsieur Pascal Vailles (31), je postule aujourd'hui avec la volonté de m'investir pleinement dans votre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GRAFF-KIEHL se distingue par une présence solide dans le Grand Est et une expertise pluridisciplinaire reconnue en urbanisme, gestion foncière et VRD. L’acquisition récente du cabinet Dominique Jung souligne votre volonté stratégique de maîtriser un large périmètre d'activités. Cette approche, alliant technicité et diversité des interventions, reflète une structure ambitieuse garantissant la fiabilité des prestations fournies aux acteurs de l'immobilier.</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tout en mobilisant ma méthodologie de chercheur pour assimiler rapidement le cadre réglementaire. Je conçois ce stage comme un échange entre la précision de la donnée et l'expertise du droit foncier.</w:t>
      </w:r>
    </w:p>
    <w:p>
      <w:pPr>
        <w:spacing w:line="276" w:lineRule="auto" w:before="0" w:after="160"/>
        <w:jc w:val="both"/>
      </w:pPr>
      <w:r>
        <w:t>Lors de mon immersion récente, j’ai acquis une maîtrise des méthodes de production, de l’acquisition sur le terrain à la restitution graphique. Ces semaines m’ont démontré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