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des Géomètres-Experts du cabinet SCP ROBART</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préparerai le diplôme DPLG en octobre 2026. L'Ordre ayant confirmé l'éligibilité de mon parcours, je recherche un poste de collaborateur pour effectuer mon stage professionnel de deux ans. Suite à un stage d'observation instructif chez Monsieur Pascal Vailles (31), je souhaite aujourd'hui m'investir pleinement au sein de votre structure afin de consolider mes acquis et de contribuer activement à vos missions quotidiennes.</w:t>
      </w:r>
    </w:p>
    <w:p>
      <w:pPr>
        <w:spacing w:line="276" w:lineRule="auto" w:before="0" w:after="160"/>
        <w:jc w:val="both"/>
      </w:pPr>
      <w:r>
        <w:t>Le métier de géomètre-expert m'attire par l'articulation fondamentale entre la rigueur technique du terrain et l'ingénierie juridique du territoire. Au-delà de la pratique pure des relevés, c'est la dimension intellectuelle qui me motive particulièrement : confronter les archives historiques, les réalités matérielles et les règles complexes d’urbanisme pour sécuriser des projets de bornage, de division ou d’aménagement durable. Cette double exigence de précision géométrique et de sécurité juridique constitue le cœur de ma motivation professionnelle.</w:t>
      </w:r>
    </w:p>
    <w:p>
      <w:pPr>
        <w:spacing w:line="276" w:lineRule="auto" w:before="0" w:after="160"/>
        <w:jc w:val="both"/>
      </w:pPr>
      <w:r>
        <w:t>Votre cabinet se distingue par une expertise complète en milieux urbain et rural, ainsi que par une maîtrise approfondie du patrimoine foncier grâce à vos archives depuis 1963. Votre approche moderne, alliant relevés 3D, intégration BIM et conseil juridique pour résoudre des problématiques complexes de mitoyenneté ou de copropriété, correspond parfaitement à l'exigence de qualité que je recherche dans mon futur parcours professionnel. Je souhaite évoluer dans un environnement qui valorise la technicité tout en plaçant le droit foncier au centre de la résolution des conflits.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technique au service de vos opérations de bornage, de division ou de diagnostic, tout en mobilisant ma méthodologie de chercheur pour assimiler rapidement le cadre réglementaire spécifique à chaque dossier. Je conçois ce stage comme un véritable échange entre la précision des données et l'expertise du droit foncier, où je pourrai apporter une rigueur analytique constante.</w:t>
      </w:r>
    </w:p>
    <w:p>
      <w:pPr>
        <w:spacing w:line="276" w:lineRule="auto" w:before="0" w:after="160"/>
        <w:jc w:val="both"/>
      </w:pPr>
      <w:r>
        <w:t>Lors de ma récente immersion en cabinet, j’ai acquis une maîtrise rapide des méthodes de production, de l’acquisition sur le terrain jusqu’à la restitution graphique finale. Ces semaines m’ont permis de mesurer que les outils techniques ne prennent leur pleine valeur que lorsqu’ils appuient un raisonnement juridique solide et structuré. Conscient que la maîtrise opérationnelle s'acquiert par la pratique quotidienne, je suis motivé pour apporter rapidement ma contribution technique sur le terrain ainsi qu'en bureau d'études, en m'adaptant avec réactivité aux besoins de vos clients.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