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Claire Roselyne Fourmeaux (Lefebvre)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Selas Latitudes se distingue par une volonté marquée de proximité, illustrée par son maillage territorial sur huit sites différents. Cette organisation permet de répondre avec précision aux besoins locaux tout en gérant des projets d'envergure dans des contextes variés, qu'ils soient urbains, ruraux ou liés aux infrastructures. Votre approche, alliant présence décentralisée et gestion rigoureuse des flux de clientèle, témoigne d'un professionnalisme garantissant un accompagnement de qualité aux acteurs du territoire. Cette capacité à concilier structure solide et ancrage local constitue un environnement stimulant.</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