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Carreau</w:t>
      </w:r>
    </w:p>
    <w:p>
      <w:pPr>
        <w:spacing w:line="240" w:lineRule="auto" w:before="0" w:after="0"/>
        <w:jc w:val="right"/>
      </w:pPr>
      <w:r>
        <w:t>SARL Cabinet CARREAU-COLLOMB</w:t>
      </w:r>
    </w:p>
    <w:p>
      <w:pPr>
        <w:spacing w:line="240" w:lineRule="auto" w:before="0" w:after="0"/>
        <w:jc w:val="right"/>
      </w:pPr>
      <w:r>
        <w:t>43 rue du Général Leclerc</w:t>
      </w:r>
    </w:p>
    <w:p>
      <w:pPr>
        <w:spacing w:line="240" w:lineRule="auto" w:before="0" w:after="0"/>
        <w:jc w:val="right"/>
      </w:pPr>
      <w:r>
        <w:t>92270 BOIS COLOMBES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Carreau,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CARREAU-COLLOMB se distingue par une présence pérenne sur le territoire depuis 1998. Cette longévité témoigne d'une maîtrise confirmée du cœur de métier et d'une connaissance approfondie des enjeux fonciers locaux. La dimension humaine de votre structure suggère une organisation où la proximité et la transmission des savoirs sont primordiales. Cette configuration permet une approche qualitative des dossiers, alliant la stabilité d'une expérience établie à une réactivité propre aux structures à taille humaine.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