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Luc Raymond Paul Burtin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Burtin,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m'investir pleinement dans une organisation établie et exigeante.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présent sur les secteurs d'Argenteuil et de Domont depuis 2003, témoigne d'une expertise solide et d'une implantation ancrée dans le territoire. Cette double présence géographique permet d'appréhender une diversité de contextes, des enjeux urbains aux problématiques rurales. La taille de votre structure suggère un équilibre entre proximité et capacité de traitement de dossiers variés, garantissant une vision globale des enjeux fonciers et une maîtrise approfondie du cœur de métier.</w:t>
      </w:r>
    </w:p>
    <w:p>
      <w:pPr>
        <w:spacing w:line="276" w:lineRule="auto" w:before="0" w:after="160"/>
        <w:jc w:val="both"/>
      </w:pPr>
      <w:r>
        <w:t>Mon parcours m'a doté d'une forte culture de la donnée spatiale et d'une solide capacité d'analyse face aux problématiques complexes. Ma formation de chercheur m'a habitué à traiter des volumes importants d'informations pour en extraire des synthèses précises, notamment à partir d'archives. Mon objectif est de mettre cette rigueur méthodologique au service de vos opérations d'aménagement, tout en assimilant rapidement le cadre réglementaire de la profession. Je conçois ce stage comme un véritable échange entre précision de la donnée et expertise juridique.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Burtin,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