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Marc Dailly</w:t>
      </w:r>
    </w:p>
    <w:p>
      <w:pPr>
        <w:spacing w:line="240" w:lineRule="auto" w:before="0" w:after="0"/>
        <w:jc w:val="right"/>
      </w:pPr>
      <w:r>
        <w:t>SELAS ARCHIMED-GE PARIS</w:t>
      </w:r>
    </w:p>
    <w:p>
      <w:pPr>
        <w:spacing w:line="240" w:lineRule="auto" w:before="0" w:after="0"/>
        <w:jc w:val="right"/>
      </w:pPr>
      <w:r>
        <w:t>8 Rue des Belles Vues</w:t>
      </w:r>
    </w:p>
    <w:p>
      <w:pPr>
        <w:spacing w:line="240" w:lineRule="auto" w:before="0" w:after="0"/>
        <w:jc w:val="right"/>
      </w:pPr>
      <w:r>
        <w:t>94120 FONTENAY SOUS BOIS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Dailly,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ARCHIMED-GE se distingue par un équilibre entre une expérience historique, remontant à 1946, et une capacité d'innovation technologique constante. Votre structure, organisée en groupe d'associés, témoigne d'une culture collaborative où la spécialisation pointue — maquettes numériques, scans 3D et suivi de déformations — s'allie à une approche pédagogique de l'accompagnement client. Votre présence sur plusieurs pôles régionaux et votre capacité à traiter des projets variés reflètent une expertise complète et une maîtrise solide du cœur de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Dailly,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