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Rene Stephane Parise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Parise,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les projets, qu’il s’agisse de bornage, de division ou d’aménagement durable.</w:t>
      </w:r>
    </w:p>
    <w:p>
      <w:pPr>
        <w:spacing w:line="276" w:lineRule="auto" w:before="0" w:after="160"/>
        <w:jc w:val="both"/>
      </w:pPr>
      <w:r>
        <w:t>Votre cabinet se distingue par une approche globale de l'aménagement, centrée sur le développement et le territoire. À travers votre dénomination, vous affirmez une volonté d'accompagner les projets de croissance et la transformation profonde des paysages géographiques. Cette vision, plaçant la précision technique au service de l'optimisation des sols et de projets de construction complexes, témoigne d'une expertise solide et d'un engagement constant dans la structuration durable du cadre de vie, tout en assurant un accompagnement rigoureux et méthodique des acteurs locaux.</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afin de contribuer à la réussite de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Parise,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