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Cedric Landry</w:t>
      </w:r>
    </w:p>
    <w:p>
      <w:pPr>
        <w:spacing w:line="240" w:lineRule="auto" w:before="0" w:after="0"/>
        <w:jc w:val="right"/>
      </w:pPr>
      <w:r>
        <w:t>Cabinet LANDRY</w:t>
      </w:r>
    </w:p>
    <w:p>
      <w:pPr>
        <w:spacing w:line="240" w:lineRule="auto" w:before="0" w:after="0"/>
        <w:jc w:val="right"/>
      </w:pPr>
      <w:r>
        <w:t>12 rue du Général Leclerc</w:t>
      </w:r>
    </w:p>
    <w:p>
      <w:pPr>
        <w:spacing w:line="240" w:lineRule="auto" w:before="0" w:after="0"/>
        <w:jc w:val="right"/>
      </w:pPr>
      <w:r>
        <w:t>14550 BLAINVILLE SUR ORNE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Landry,</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(31), je souhaite désormais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fondé en 1999, témoigne d'une solide implantation et d'une maîtrise éprouvée du cœur de métier. Cette longévité suggère une connaissance approfondie des enjeux fonciers locaux et une capacité à accompagner des projets variés avec une approche de proximité. Votre expertise offre un cadre idéal pour appréhender la diversité des réalités foncières et assurer la sécurisation des projets d'aménagement dans un environnement de confiance.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tout en mobilisant ma méthodologie de chercheur pour assimiler rapidement le cadre réglementaire de la profession. Je conçois ce stage comme un échange entre la précision des données et l'expertise du droit foncier.</w:t>
      </w:r>
    </w:p>
    <w:p>
      <w:pPr>
        <w:spacing w:line="276" w:lineRule="auto" w:before="0" w:after="160"/>
        <w:jc w:val="both"/>
      </w:pPr>
      <w:r>
        <w:t>Lors de ma récente immersion en cabinet, j’ai acquis une maîtrise rapide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Landry,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