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Michel Robert Secret</w:t>
      </w:r>
    </w:p>
    <w:p>
      <w:pPr>
        <w:spacing w:line="240" w:lineRule="auto" w:before="0" w:after="0"/>
        <w:jc w:val="right"/>
      </w:pPr>
      <w:r>
        <w:t>Cabinet GENOP</w:t>
      </w:r>
    </w:p>
    <w:p>
      <w:pPr>
        <w:spacing w:line="240" w:lineRule="auto" w:before="0" w:after="0"/>
        <w:jc w:val="right"/>
      </w:pPr>
      <w:r>
        <w:t>2 PLACE DE LA REPUBLIQUE</w:t>
      </w:r>
    </w:p>
    <w:p>
      <w:pPr>
        <w:spacing w:line="240" w:lineRule="auto" w:before="0" w:after="0"/>
        <w:jc w:val="right"/>
      </w:pPr>
      <w:r>
        <w:t>76530 GRAND COURONNE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centrée sur l’accompagnement personnalisé et la sécurisation rigoureuse des propriétés. En mettant l'accent sur la réactivité et la disponibilité, GENOP assure une relation de confiance avec ses clients, particuliers ou collectivités. Votre capacité à agir en tant que médiateur pour résoudre les conflits fonciers et votre volonté de garantir une conformité administrative totale témoignent d'une expertise qui place la qualité de service et la discrétion au cœur de vos interventions.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