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Charbonnier</w:t>
      </w:r>
    </w:p>
    <w:p>
      <w:pPr>
        <w:spacing w:line="240" w:lineRule="auto" w:before="0" w:after="0"/>
        <w:jc w:val="right"/>
      </w:pPr>
      <w:r>
        <w:t>GEOCIBLE SELARL</w:t>
      </w:r>
    </w:p>
    <w:p>
      <w:pPr>
        <w:spacing w:line="240" w:lineRule="auto" w:before="0" w:after="0"/>
        <w:jc w:val="right"/>
      </w:pPr>
      <w:r>
        <w:t>10 bis, Avenue des Marronniers</w:t>
      </w:r>
    </w:p>
    <w:p>
      <w:pPr>
        <w:spacing w:line="240" w:lineRule="auto" w:before="0" w:after="0"/>
        <w:jc w:val="right"/>
      </w:pPr>
      <w:r>
        <w:t>BP 4, 17290 AIGREFEUILLE D AUNIS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Charbonnier,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w:t>
      </w:r>
    </w:p>
    <w:p>
      <w:pPr>
        <w:spacing w:line="276" w:lineRule="auto" w:before="0" w:after="160"/>
        <w:jc w:val="both"/>
      </w:pPr>
      <w:r>
        <w:t>Le métier de géomètre-expert correspond à mes aspirations : l’articulation entre la rigueur technique sur le terrain et l’ingénierie juridique du territoire. Si la pratique de terrain m’attire, c’est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propose une approche globale, de l'analyse documentaire à la remise des documents officiels. L'accent mis sur la résolution amiable des litiges, l'intégration des enjeux environnementaux et l'optimisation stratégique des projets de division souligne une expertise complète au service des projets fonciers en Charente-Maritime. Cette volonté de fournir des solutions sur mesure, respectant les cadres réglementaires comme la Loi Carrez ou le PLU, témoigne d'une pratique où la technicité sert une relation de confiance durable avec les propriétaires.</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Charbonnier,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