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Grégoire Antoine Rechard</w:t>
      </w:r>
    </w:p>
    <w:p>
      <w:pPr>
        <w:spacing w:line="240" w:lineRule="auto" w:before="0" w:after="0"/>
        <w:jc w:val="right"/>
      </w:pPr>
      <w:r>
        <w:t>LGER LE GEOMETRE EXPERT ROCHELAIS</w:t>
      </w:r>
    </w:p>
    <w:p>
      <w:pPr>
        <w:spacing w:line="240" w:lineRule="auto" w:before="0" w:after="0"/>
        <w:jc w:val="right"/>
      </w:pPr>
      <w:r>
        <w:t>21, Rue Alphonse de Saintonge</w:t>
      </w:r>
    </w:p>
    <w:p>
      <w:pPr>
        <w:spacing w:line="240" w:lineRule="auto" w:before="0" w:after="0"/>
        <w:jc w:val="right"/>
      </w:pPr>
      <w:r>
        <w:t>17000 LA ROCHELLE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Rechard,</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LGER se distingue par une approche de proximité et une polyvalence technique remarquable, intervenant aussi bien sur des copropriétés complexes que sur des travaux de VRD. Le cabinet assure une représentation fidèle du terrain par l'usage de matériels de dernière génération, notamment en scan 3D, tout en conciliant expertise technique et responsabilité environnementale. Cette volonté de proposer des solutions fiables aux acteurs du bâtiment et aux collectivités témoigne d'une vision exigeante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Rechard,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