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Victor Duarte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Duarte,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reconnue pour son expertise et son dynamisme.</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sa double compétence technique et juridique, essentielle pour traduire concrètement la réglementation dans des projets d'aménagement complexes. Spécialisé en ingénierie VRD et en urbanisme opérationnel, le Cabinet Duarte maîtrise l'ensemble de la chaîne de valeur, de la conception à la maîtrise d’œuvre. Cette capacité à concilier exigences légales et réalités techniques pour améliorer le cadre de vie des citoyens témoigne d'une approche pragmatique. Votre expertise en conseil foncier et réalisation technique positionne votre structure comme un acteur clé de l'optimisation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Je conçois ce stage comme un échange entre la précision des données et l'expertise du droit foncier, avec la volonté d'apporter une rigueur accrue à vos diagnostics et conceptions.</w:t>
      </w:r>
    </w:p>
    <w:p>
      <w:pPr>
        <w:spacing w:line="276" w:lineRule="auto" w:before="0" w:after="160"/>
        <w:jc w:val="both"/>
      </w:pPr>
      <w:r>
        <w:t>Lors de ma récente immersion en cabinet, j’ai appréhendé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sur le terrain ainsi que dans le suivi des dossiers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Duarte,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