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Cluzant</w:t>
      </w:r>
    </w:p>
    <w:p>
      <w:pPr>
        <w:spacing w:line="240" w:lineRule="auto" w:before="0" w:after="0"/>
        <w:jc w:val="right"/>
      </w:pPr>
      <w:r>
        <w:t>SELARR CLUZANT Gilles</w:t>
      </w:r>
    </w:p>
    <w:p>
      <w:pPr>
        <w:spacing w:line="240" w:lineRule="auto" w:before="0" w:after="0"/>
        <w:jc w:val="right"/>
      </w:pPr>
      <w:r>
        <w:t>808, route de la Cote de Jos</w:t>
      </w:r>
    </w:p>
    <w:p>
      <w:pPr>
        <w:spacing w:line="240" w:lineRule="auto" w:before="0" w:after="0"/>
        <w:jc w:val="right"/>
      </w:pPr>
      <w:r>
        <w:t>33420 GREZILLAC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Cluzant,</w:t>
      </w:r>
    </w:p>
    <w:p>
      <w:pPr>
        <w:spacing w:line="276" w:lineRule="auto" w:before="0" w:after="160"/>
        <w:jc w:val="both"/>
      </w:pPr>
      <w:r>
        <w:t>Actuellement engagé dans une reconversion vers le métier de géomètre-expert, je prépare la session DPLG d'octobre 2026. L'Ordre ayant confirmé mon éligibilité, je recherche un poste de collaborateur pour réaliser mon stage professionnel de deux ans. Suite à un stage d’observation instructif au sein du cabinet de Monsieur Pascal Vailles (31), je sollicite votre structure, reconnue pour son exigence technique et juridique.</w:t>
      </w:r>
    </w:p>
    <w:p>
      <w:pPr>
        <w:spacing w:line="276" w:lineRule="auto" w:before="0" w:after="160"/>
        <w:jc w:val="both"/>
      </w:pPr>
      <w:r>
        <w:t>Le métier de géomètre-expert m'attire par l'articulation entre la rigueur du terrain et l'ingénierie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Votre cabinet se distingue par une approche méthodique où la précision est une condition indispensable à la sécurisation du patrimoine foncier. Votre capacité à produire des diagnostics fiables témoigne d'une volonté de dépasser la simple mesure pour en comprendre les enjeux patrimoniaux. L'alliance entre une expertise historique solide (milieux viticoles, forestiers ou urbains) et l'intégration de technologies de pointe, telles que le scan laser 3D ou les relevés par drone, garantit une traçabilité totale des opérations, essentielle aux problématiques successorales ou de restructuration parcellaire.</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missions d'aménagement, de valorisation du bâti et de restructuration foncière, tout en assimilant rapidement le cadre réglementaire spécifique.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en bureau et sur le terrain afin de soutenir vos missions.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Cluzant,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