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AUIGE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réglementations pour sécuriser des projets, qu’il s’agisse de bornage, de division ou d'aménagement.</w:t>
      </w:r>
    </w:p>
    <w:p>
      <w:pPr>
        <w:spacing w:line="276" w:lineRule="auto" w:before="0" w:after="160"/>
        <w:jc w:val="both"/>
      </w:pPr>
      <w:r>
        <w:t>Votre cabinet se distingue par un ancrage historique solide et une expertise pluridisciplinaire permettant d'accompagner des opérations d'aménagement complexes en Nouvelle-Aquitaine. La capacité de la SELARL AUIGE à intervenir sur tout le cycle de vie d'un projet, de l'étude pré-opérationnelle à la maîtrise d'œuvre, témoigne d'une vision globale du métier. Votre intégration proactive de la culture BIM et votre positionnement de conseil auprès des acteurs de la construction marquent une volonté constante de modernisation et de sécurisation juridique.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