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Arnaud Remi et Raymond Paul Laurens</w:t>
      </w:r>
    </w:p>
    <w:p>
      <w:pPr>
        <w:spacing w:line="240" w:lineRule="auto" w:before="0" w:after="0"/>
        <w:jc w:val="right"/>
      </w:pPr>
      <w:r>
        <w:t>SARL AGEO CONSULT</w:t>
      </w:r>
    </w:p>
    <w:p>
      <w:pPr>
        <w:spacing w:line="240" w:lineRule="auto" w:before="0" w:after="0"/>
        <w:jc w:val="right"/>
      </w:pPr>
      <w:r>
        <w:t>16 rue de la Merci Bât D,</w:t>
      </w:r>
    </w:p>
    <w:p>
      <w:pPr>
        <w:spacing w:line="240" w:lineRule="auto" w:before="0" w:after="0"/>
        <w:jc w:val="right"/>
      </w:pPr>
      <w:r>
        <w:t>34000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Messieurs,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AGEO CONSULT se distingue par une approche à taille humaine où la dimension conseil est centrale. Votre expertise allie la haute technicité du relevé au scanner 3D à une solide maîtrise des problématiques foncières complexes, telles que la mise en copropriété ou les formalités d'urbanisme. Cette double compétence permet de sécuriser les projets avec précision, en offrant des réponses claires et fiables face aux enjeux cruciaux de la propriété foncière.</w:t>
      </w:r>
    </w:p>
    <w:p>
      <w:pPr>
        <w:spacing w:line="276" w:lineRule="auto" w:before="0" w:after="160"/>
        <w:jc w:val="both"/>
      </w:pPr>
      <w:r>
        <w:t>Mon parcours universitaire m'a doté d'une solide capacité d'analyse et de synthèse, me permettant d'appréhender rapidement des dossiers complexes. Parallèlement, je possède une culture de la donnée spatiale (SIG, modélisation) et une sensibilité pour le traitement de données. Mon objectif est de mettre cette production technique au service de vos opérations d'aménagement, tout en m'appuyant sur ma méthode de chercheur pour assimiler rapidement le cadre réglementaire spécifique à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