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Fabien Pietrera</w:t>
      </w:r>
    </w:p>
    <w:p>
      <w:pPr>
        <w:spacing w:line="240" w:lineRule="auto" w:before="0" w:after="0"/>
        <w:jc w:val="right"/>
      </w:pPr>
      <w:r>
        <w:t>SARL GELP</w:t>
      </w:r>
    </w:p>
    <w:p>
      <w:pPr>
        <w:spacing w:line="240" w:lineRule="auto" w:before="0" w:after="0"/>
        <w:jc w:val="right"/>
      </w:pPr>
      <w:r>
        <w:t>6 rue des Ecoles</w:t>
      </w:r>
    </w:p>
    <w:p>
      <w:pPr>
        <w:spacing w:line="240" w:lineRule="auto" w:before="0" w:after="0"/>
        <w:jc w:val="right"/>
      </w:pPr>
      <w:r>
        <w:t>31140 AUCAMVILLE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Pietrera,</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volonté constante d'offrir un savoir-faire unique, garantissant des réponses sur mesure à chaque problématique client. Votre approche, centrée sur l'accompagnement et la qualité, témoigne d'une volonté de ne pas être un simple exécutant, mais un partenaire de confiance pour sécuriser les projets. Par ailleurs, votre ancrage à Toulouse et votre capacité de déploiement sur le territoire occitan soulignent une organisation solide, capable de répondre avec réactivité aux enjeux variés des différents intervenants.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Pietrera,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