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Gildas Carre</w:t>
      </w:r>
    </w:p>
    <w:p>
      <w:pPr>
        <w:spacing w:line="240" w:lineRule="auto" w:before="0" w:after="0"/>
        <w:jc w:val="right"/>
      </w:pPr>
      <w:r>
        <w:t>SARL URBACTIS GROUPE</w:t>
      </w:r>
    </w:p>
    <w:p>
      <w:pPr>
        <w:spacing w:line="240" w:lineRule="auto" w:before="0" w:after="0"/>
        <w:jc w:val="right"/>
      </w:pPr>
      <w:r>
        <w:t>1289 rue des Pyrénées BP 3</w:t>
      </w:r>
    </w:p>
    <w:p>
      <w:pPr>
        <w:spacing w:line="240" w:lineRule="auto" w:before="0" w:after="0"/>
        <w:jc w:val="right"/>
      </w:pPr>
      <w:r>
        <w:t>31330 GRENADE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de la mesure sur le terrain et l’ingénierie juridique du territoire. Si la pratique technique m’attire, c’est avant tout la dimension intellectuelle qui me motive : confronter les archives, les réalités matérielles et les règles d’urbanisme pour sécuriser des projets, qu’il s’agisse de bornage, de division foncière ou d’aménagement durable.</w:t>
      </w:r>
    </w:p>
    <w:p>
      <w:pPr>
        <w:spacing w:line="276" w:lineRule="auto" w:before="0" w:after="160"/>
        <w:jc w:val="both"/>
      </w:pPr>
      <w:r>
        <w:t>La SARL URBACTIS GROUPE se distingue par une organisation solide et établie, témoignant d'une expertise reconnue. Votre dimension de groupe permet de conjuguer une maîtrise approfondie du cœur de métier avec une capacité opérationnelle à mener des projets d'envergure. Cette structure assure une diversité de missions tout en préservant une approche de proximité et de rigueur indispensable à la sécurisation foncière.</w:t>
      </w:r>
    </w:p>
    <w:p>
      <w:pPr>
        <w:spacing w:line="276" w:lineRule="auto" w:before="0" w:after="160"/>
        <w:jc w:val="both"/>
      </w:pPr>
      <w:r>
        <w:t>Mon parcours m'a doté d'une forte culture de la donnée spatiale et d'une solide capacité d'analyse.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capacité de synthèse sera un atout pour vos dossiers.</w:t>
      </w:r>
    </w:p>
    <w:p>
      <w:pPr>
        <w:spacing w:line="276" w:lineRule="auto" w:before="0" w:after="160"/>
        <w:jc w:val="both"/>
      </w:pPr>
      <w:r>
        <w:t>Lors de ma récente immersion en cabinet, j’ai découvert la réalité du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