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URBACTIS GROUPE</w:t>
      </w:r>
    </w:p>
    <w:p>
      <w:pPr>
        <w:spacing w:line="240" w:lineRule="auto" w:before="0" w:after="0"/>
        <w:jc w:val="right"/>
      </w:pPr>
      <w:r>
        <w:t>60 impasse de Berlin Albasud CS 80391, 82003 MONTAUBAN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chez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Je souhaite participer à la structuration de l'espace par une approche méthodique et précise.</w:t>
      </w:r>
    </w:p>
    <w:p>
      <w:pPr>
        <w:spacing w:line="276" w:lineRule="auto" w:before="0" w:after="160"/>
        <w:jc w:val="both"/>
      </w:pPr>
      <w:r>
        <w:t>Votre cabinet se distingue par son ancrage territorial solide et sa présence sur plusieurs sites, notamment à Montauban, Negrepelisse et Bouloc. Cette implantation multi-sites témoigne d'une diversité de contextes d'intervention, des zones urbaines aux espaces ruraux. Cette polyvalence géographique permet une approche variée des problématiques foncières et une maîtrise des enjeux spécifiques à chaque territoire, garantissant une expertise adaptée aux besoins variés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 où ma capacité de synthèse pourra soutenir la résolution de dossiers techniques.</w:t>
      </w:r>
    </w:p>
    <w:p>
      <w:pPr>
        <w:spacing w:line="276" w:lineRule="auto" w:before="0" w:after="160"/>
        <w:jc w:val="both"/>
      </w:pPr>
      <w:r>
        <w:t>Lors de ma récente immersion en cabinet, j’ai découvert la réalité du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structuré.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