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SASU SUD GEO</w:t>
      </w:r>
    </w:p>
    <w:p>
      <w:pPr>
        <w:spacing w:line="240" w:lineRule="auto" w:before="0" w:after="0"/>
        <w:jc w:val="right"/>
      </w:pPr>
      <w:r>
        <w:t>2 rue Albert Magnelli</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de copropriété ou d’aménagement durable.</w:t>
      </w:r>
    </w:p>
    <w:p>
      <w:pPr>
        <w:spacing w:line="276" w:lineRule="auto" w:before="0" w:after="160"/>
        <w:jc w:val="both"/>
      </w:pPr>
      <w:r>
        <w:t>Votre cabinet à Béziers se distingue par une approche privilégiant la maîtrise du cœur du métier et une proximité essentielle avec les clients. Dans un secteur géographique aux enjeux fonciers diversifiés, votre expertise permet d'assurer une sécurisation précise des territoires, qu'il s'agisse de problématiques rurales ou d'aménagements urbains. Je suis particulièrement sensible à cette dimension de conseil de proximité où la technicité doit répondre avec précision aux réalités concrètes des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avec la volonté d'apporter une analyse structurée à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