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Belestin</w:t>
      </w:r>
    </w:p>
    <w:p>
      <w:pPr>
        <w:spacing w:line="240" w:lineRule="auto" w:before="0" w:after="0"/>
        <w:jc w:val="right"/>
      </w:pPr>
      <w:r>
        <w:t>SELARL BELESTIN</w:t>
      </w:r>
    </w:p>
    <w:p>
      <w:pPr>
        <w:spacing w:line="240" w:lineRule="auto" w:before="0" w:after="0"/>
        <w:jc w:val="right"/>
      </w:pPr>
      <w:r>
        <w:t>12 place de la Garlande</w:t>
      </w:r>
    </w:p>
    <w:p>
      <w:pPr>
        <w:spacing w:line="240" w:lineRule="auto" w:before="0" w:after="0"/>
        <w:jc w:val="right"/>
      </w:pPr>
      <w:r>
        <w:t>32720 BARCELONNE DU GERS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Belestin,</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une expérience enrichissante au sein du cabinet de Monsieur Pascal Vailles (31), je souhaite aujourd'hui m'investir pleinement au sein d'une structure de proximité telle que la vôtre.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SELARL BELESTIN se distingue par une approche centrée sur le conseil et l'accompagnement personnalisé. Votre volonté de répondre précisément aux besoins des particuliers, professionnels et collectivités témoigne d'une expertise dépassant la simple exécution technique pour s'orienter vers une mission de préconisation. La maîtrise complète des processus de bornage, de division cadastrale et de montage de dossiers d'urbanisme souligne une rigueur juridique constante. Cette capacité à sécuriser le foncier tout en assurant un suivi complet constitue un gage de fiabilité indispensable aux acteurs du territoire.</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tout en mobilisant ma méthodologie de chercheur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Belestin,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