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Jean-Yves REY</w:t>
      </w:r>
    </w:p>
    <w:p>
      <w:pPr>
        <w:spacing w:line="240" w:lineRule="auto" w:before="0" w:after="0"/>
        <w:jc w:val="right"/>
      </w:pPr>
      <w:r>
        <w:t>SELARL Jean-Yves REY</w:t>
      </w:r>
    </w:p>
    <w:p>
      <w:pPr>
        <w:spacing w:line="240" w:lineRule="auto" w:before="0" w:after="0"/>
        <w:jc w:val="right"/>
      </w:pPr>
      <w:r>
        <w:t>9002 avenue Georges Pompidou les jardins de la bourgade</w:t>
      </w:r>
    </w:p>
    <w:p>
      <w:pPr>
        <w:spacing w:line="240" w:lineRule="auto" w:before="0" w:after="0"/>
        <w:jc w:val="right"/>
      </w:pPr>
      <w:r>
        <w:t>30700 UZES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REY,</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dynamique telle que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démarche proactive de modernisation, notamment via le déploiement d'outils numériques dédiés à la gestion dématérialisée. Cette volonté de créer des espaces sécurisés pour vos clients témoigne d'un souci constant de transparence et de fluidité. Votre approche, alliant technicité et courtoisie relationnelle, reflète un professionnalisme où la qualité du service et la sécurité des données sont prioritaires pour accompagner efficacement les interlocuteurs dans leurs projets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et missions de conseil,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