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Brunetiere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exigeante.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OXYGÉO Sompayrac se distingue par une approche complète alliant technicité de pointe et expertise juridique. Votre maîtrise des technologies de précision, notamment le scanner laser 3D et la modélisation BIM, couplée à une pratique approfondie du droit foncier — de la délimitation parcellaire à la gestion de la copropriété — témoigne d'une exigence de qualité qui définit votre positionnement en Occitanie.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