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LAMBERT</w:t>
      </w:r>
    </w:p>
    <w:p>
      <w:pPr>
        <w:spacing w:line="240" w:lineRule="auto" w:before="0" w:after="0"/>
        <w:jc w:val="right"/>
      </w:pPr>
      <w:r>
        <w:t>SELARLU FONGEO</w:t>
      </w:r>
    </w:p>
    <w:p>
      <w:pPr>
        <w:spacing w:line="240" w:lineRule="auto" w:before="0" w:after="0"/>
        <w:jc w:val="right"/>
      </w:pPr>
      <w:r>
        <w:t>23 rue de la Sardane Immeuble Le Castell</w:t>
      </w:r>
    </w:p>
    <w:p>
      <w:pPr>
        <w:spacing w:line="240" w:lineRule="auto" w:before="0" w:after="0"/>
        <w:jc w:val="right"/>
      </w:pPr>
      <w:r>
        <w:t>66000 PERPIGNAN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Lambert,</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sollicite votre structure avec l'ambition de m'investir pleinement dans vos projets d'aménagement et de contribuer activement à votre activité quotidienne.</w:t>
      </w:r>
    </w:p>
    <w:p>
      <w:pPr>
        <w:spacing w:line="276" w:lineRule="auto" w:before="0" w:after="160"/>
        <w:jc w:val="both"/>
      </w:pPr>
      <w:r>
        <w:t>Le métier de géomètre-expert incarne parfaitement mon projet professionnel : il allie la rigueur technique du terrain à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expertise pluridisciplinaire alliant topographie, géomatique et ingénierie VRD/géotechnique. L’approche de Monsieur Lambert, conjuguant rigueur d'ingénieur et expertise foncière, témoigne d'une volonté de fournir un conseil fiable et réactif. Votre capacité à accompagner des projets variés, de la division du bâti aux opérations pour les collectivités territoriales, reflète une structure solide, attentive aux enjeux complexes des droits des sols. Votre engagement envers une mission de service public garantit la fiabilité des limites réelles, une exigence que je souhaite intégrer pleinement.</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opérations, tout en mobilisant ma méthodologie de chercheur pour assimiler rapidement le cadre réglementaire de la profession. Je conçois ce stage comme un échange mutuel entre la précision de la donnée et l'expertise du droit foncier.</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Lambert,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