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Canepa</w:t>
      </w:r>
    </w:p>
    <w:p>
      <w:pPr>
        <w:spacing w:line="240" w:lineRule="auto" w:before="0" w:after="0"/>
        <w:jc w:val="right"/>
      </w:pPr>
      <w:r>
        <w:t>SELAS GEAUDE</w:t>
      </w:r>
    </w:p>
    <w:p>
      <w:pPr>
        <w:spacing w:line="240" w:lineRule="auto" w:before="0" w:after="0"/>
        <w:jc w:val="right"/>
      </w:pPr>
      <w:r>
        <w:t>28 rue Ernest Cognacq ZAC Bonne Source</w:t>
      </w:r>
    </w:p>
    <w:p>
      <w:pPr>
        <w:spacing w:line="240" w:lineRule="auto" w:before="0" w:after="0"/>
        <w:jc w:val="right"/>
      </w:pPr>
      <w:r>
        <w:t>11100 NARBONNE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de géomètre-expert)</w:t>
      </w:r>
    </w:p>
    <w:p>
      <w:pPr>
        <w:spacing w:before="0" w:after="0" w:line="276" w:lineRule="auto"/>
      </w:pPr>
    </w:p>
    <w:p>
      <w:pPr>
        <w:spacing w:line="276" w:lineRule="auto" w:before="0" w:after="160"/>
        <w:jc w:val="both"/>
      </w:pPr>
      <w:r>
        <w:t>Monsieur Canepa,</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GEAUDE se distingue par un équilibre remarquable entre une solide expérience historique — héritée du cabinet Aguilhon depuis 1960 — et une volonté constante de modernisation technique. Votre ancrage dans l'Aude, couplé à votre capacité de déploiement sur le sud de la France, témoigne d'une grande réactivité opérationnelle. Par ailleurs, votre engagement pour la formation continue et la maîtrise des avancées technologiques garantit une expertise de haute précision. Accompagner vos clients dans l'intégralité de leurs projets tout en maîtrisant parfaitement les méthodologies de relevé constitue un cadre de travail stimulant et rigoureux.</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mobilisant ma méthode de chercheur pour assimiler rapidement le cadre réglementaire de la profession. Je conçois ce stage comme un véritable échange entre la précision des données et l'expertise du droit foncier, visant à produire des documents techniques précis pour sécuriser les biens.</w:t>
      </w:r>
    </w:p>
    <w:p>
      <w:pPr>
        <w:spacing w:line="276" w:lineRule="auto" w:before="0" w:after="160"/>
        <w:jc w:val="both"/>
      </w:pPr>
      <w:r>
        <w:t>Lors de ma récente immersion en cabinet, j’ai découvert le travail de terrain et assimilé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Canepa,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