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AIR GEO SCP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capacité à conjuguer une solide expérience, ancrée depuis 1926, avec une approche résolument moderne et technologique. Cette double dimension, alliant un ancrage local fort via vos nombreuses agences et une envergure nationale pour des opérations d'envergure, témoigne d'une maîtrise complète des enjeux territoriaux. Votre expertise, couvrant des missions de bornage et de division jusqu'aux projets complexes d'urbanisme ou de gestion de copropriété, illustre une exigence de qualité et une polyvalence qui caractérisent votre identité professionnelle.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