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Isabelle Lhumeau (Brichet)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pour m'investir pleinement dans cette formation exigeante.</w:t>
      </w:r>
    </w:p>
    <w:p>
      <w:pPr>
        <w:spacing w:line="276" w:lineRule="auto" w:before="0" w:after="160"/>
        <w:jc w:val="both"/>
      </w:pPr>
      <w:r>
        <w:t>Le métier de géomètre-expert m'attire par l'articulation entre la rigueur technique de terrain et l'ingénierie juridique du territoire. Au-delà de la pratique matérielle, c’est la dimension intellectuelle qui me motive : confronter archives, réalités physiques et règles d’urbanisme pour sécuriser des projets complexes, qu’il s’agisse de bornage, de division ou d’aménagement durable.</w:t>
      </w:r>
    </w:p>
    <w:p>
      <w:pPr>
        <w:spacing w:line="276" w:lineRule="auto" w:before="0" w:after="160"/>
        <w:jc w:val="both"/>
      </w:pPr>
      <w:r>
        <w:t>Votre cabinet se distingue par un ancrage territorial marqué en Anjou, avec une présence structurée sur plusieurs sites (Baugé-en-Anjou, Château-la-Vallière et Beaufort). Cette implantation multi-sites témoigne d'une expertise capable de répondre à une grande diversité de problématiques, des enjeux ruraux aux réalités urbaines. Votre structure, active depuis 2009, permet d'appréhender la pluralité des paysages et des contextes fonciers propres à votre zone d'activité, garantissant une approche polyvalente et une maîtrise approfondie du cœur de métier sur un territoire varié.</w:t>
      </w:r>
    </w:p>
    <w:p>
      <w:pPr>
        <w:spacing w:line="276" w:lineRule="auto" w:before="0" w:after="160"/>
        <w:jc w:val="both"/>
      </w:pPr>
      <w:r>
        <w:t>Mon parcours m'a doté d'une forte culture de la donnée spatiale (SIG, topographie, modélisation) et d'une solide capacité d'analyse face aux problématiques complexes. Mon objectif est de mettre cette force technique au service de vos opérations d'aménagement, tout en mobilisant ma méthode de chercheur pour assimiler rapidement le cadre réglementaire de la profession. Je conçois ce stage comme un échange entre la rigueur de la donnée et l'expertise du droit foncier, afin de transformer des données brutes en outils d'aide à la décision.</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