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Jeanneau</w:t>
      </w:r>
    </w:p>
    <w:p>
      <w:pPr>
        <w:spacing w:line="240" w:lineRule="auto" w:before="0" w:after="0"/>
        <w:jc w:val="right"/>
      </w:pPr>
      <w:r>
        <w:t>Géomotis</w:t>
      </w:r>
    </w:p>
    <w:p>
      <w:pPr>
        <w:spacing w:line="240" w:lineRule="auto" w:before="0" w:after="0"/>
        <w:jc w:val="right"/>
      </w:pPr>
      <w:r>
        <w:t>1 rue Saint Nicolas</w:t>
      </w:r>
    </w:p>
    <w:p>
      <w:pPr>
        <w:spacing w:line="240" w:lineRule="auto" w:before="0" w:after="0"/>
        <w:jc w:val="right"/>
      </w:pPr>
      <w:r>
        <w:t>49110 MONTREVAULT SUR EVRE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Géomotis se distingue par une implantation établie depuis 2002, témoignant d'une maîtrise solide du cœur de métier et d'un ancrage territorial pérenne. Cette stabilité suggère une expertise approfondie dans la gestion des problématiques foncières locales et une maîtrise éprouvée des procédures de délimitation et de division au sein d'un environnement géographique spécifique.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