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Chabot</w:t>
      </w:r>
    </w:p>
    <w:p>
      <w:pPr>
        <w:spacing w:line="240" w:lineRule="auto" w:before="0" w:after="0"/>
        <w:jc w:val="right"/>
      </w:pPr>
      <w:r>
        <w:t>Cabinet GÉOUEST</w:t>
      </w:r>
    </w:p>
    <w:p>
      <w:pPr>
        <w:spacing w:line="240" w:lineRule="auto" w:before="0" w:after="0"/>
        <w:jc w:val="right"/>
      </w:pPr>
      <w:r>
        <w:t>46 rue Benjamin Franklin BP 50352</w:t>
      </w:r>
    </w:p>
    <w:p>
      <w:pPr>
        <w:spacing w:line="240" w:lineRule="auto" w:before="0" w:after="0"/>
        <w:jc w:val="right"/>
      </w:pPr>
      <w:r>
        <w:t>85000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au sein d'une structure structurée et polyvalente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GÉOUEST se distingue par une expertise reconnue et une présence multisites en Vendée, couvrant des enjeux variés allant de la topographie de précision aux opérations complexes d'aménagement urbain et de voirie. La diversité de vos projets — créations de quartiers ou travaux de haute précision pour le secteur industriel — témoigne d'une maîtrise complète du cycle de vie des infrastructures et d'une capacité à répondre aux exigences spécifiques des commandes publiques et privées.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 bornage, de division et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