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KALIGEO</w:t>
      </w:r>
    </w:p>
    <w:p>
      <w:pPr>
        <w:spacing w:line="240" w:lineRule="auto" w:before="0" w:after="0"/>
        <w:jc w:val="right"/>
      </w:pPr>
      <w:r>
        <w:t>21 Rue Ferdinand Buisson Parc Tertiaire Cérès Bâtiment I</w:t>
      </w:r>
    </w:p>
    <w:p>
      <w:pPr>
        <w:spacing w:line="240" w:lineRule="auto" w:before="0" w:after="0"/>
        <w:jc w:val="right"/>
      </w:pPr>
      <w:r>
        <w:t>53810 CHANGE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sollicite aujourd'hui votre structure, dont la solidité et le professionnalisme correspondent parfaitement à mes aspirations de carrière.</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Le cabinet KALIGEO se distingue par une organisation robuste et une présence stratégique sur deux sites (Change et Ernée). Cette implantation témoigne d'une capacité à intervenir dans des contextes variés, tant urbains que ruraux. Une telle structure garantit une approche rigoureuse des problématiques foncières et une vision globale des enjeux d'aménagement, tout en offrant la stabilité d'un cabinet expérimenté capable de gérer des dossiers diversifiés avec expertise.</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mobilisant ma méthodologie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appréhendé les étapes clés du travail de terrain : de l’acquisition à la restitution graphique. Cette expérience m’a permis de mesurer que les outils techniques ne prennent leur pleine valeur que lorsqu’ils appuient un raisonnement juridique structuré.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