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SCULO-CHATELLIER</w:t>
      </w:r>
    </w:p>
    <w:p>
      <w:pPr>
        <w:spacing w:line="240" w:lineRule="auto" w:before="0" w:after="0"/>
        <w:jc w:val="right"/>
      </w:pPr>
      <w:r>
        <w:t>14 Avenue Gustave Flaubert Rés Saint Aubin BP 15301, 44353 GUERANDE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DPLG en octobre 2026. L'Ordre ayant validé mon parcours, je recherche un poste de collaborateur pour mon stage professionnel de deux ans. Suite à une expérience enrichissante au sein du cabinet de Monsieur Pascal Vailles (31), je postule aujourd'hui avec l'ambition de m'investir pleinement au sein d'une structure reconnue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historiques, réalités matérielles et règles d’urbanisme pour sécuriser des projets complexes, qu'il s'agisse de bornage, de division parcellaire ou d’aménagement durable.</w:t>
      </w:r>
    </w:p>
    <w:p>
      <w:pPr>
        <w:spacing w:line="276" w:lineRule="auto" w:before="0" w:after="160"/>
        <w:jc w:val="both"/>
      </w:pPr>
      <w:r>
        <w:t>Votre cabinet se distingue par une présence sur des territoires variés, de la zone urbaine de Saint-Nazaire aux environnements ruraux et côtiers de La Roche Bernard et de Guérande. Cette diversité témoigne d'une capacité à traiter des problématiques foncières variées tout en maîtrisant les fondamentaux du métier. Cette pluralité de contextes constitue un environnement stimulant pour appréhender avec justesse la complexité des enjeux territoriaux actuels.</w:t>
      </w:r>
    </w:p>
    <w:p>
      <w:pPr>
        <w:spacing w:line="276" w:lineRule="auto" w:before="0" w:after="160"/>
        <w:jc w:val="both"/>
      </w:pPr>
      <w:r>
        <w:t>Mon parcours universitaire, axé sur l'urbanisme et l'analyse d'archives, m'a doté d'une forte culture de la donnée spatiale et d'une solide capacité d'analyse face à des problématiques complexes. Mon objectif est de mettre cette expertise technique au service de vos opérations d'aménagement, tout en utilisant ma méthodologie de chercheur pour assimiler rapidement le cadre réglementaire de la profession. Je conçois ce stage comme un échange entre rigueur de la donnée et expertise du droit foncier, où ma capacité de synthèse sera un atout pour traiter les dossiers denses.</w:t>
      </w:r>
    </w:p>
    <w:p>
      <w:pPr>
        <w:spacing w:line="276" w:lineRule="auto" w:before="0" w:after="160"/>
        <w:jc w:val="both"/>
      </w:pPr>
      <w:r>
        <w:t>Lors de ma récente immersion en cabinet, j’ai découvert le travail de terrain et acquis une maîtrise des méthodes de production, de l'acquisition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