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Sophie Argence Giraud Sauveur</w:t>
      </w:r>
    </w:p>
    <w:p>
      <w:pPr>
        <w:spacing w:line="240" w:lineRule="auto" w:before="0" w:after="0"/>
        <w:jc w:val="right"/>
      </w:pPr>
      <w:r>
        <w:t>SELARL Cabinet ARGENCE</w:t>
      </w:r>
    </w:p>
    <w:p>
      <w:pPr>
        <w:spacing w:line="240" w:lineRule="auto" w:before="0" w:after="0"/>
        <w:jc w:val="right"/>
      </w:pPr>
      <w:r>
        <w:t>1059 av Frédéric Mistral</w:t>
      </w:r>
    </w:p>
    <w:p>
      <w:pPr>
        <w:spacing w:line="240" w:lineRule="auto" w:before="0" w:after="0"/>
        <w:jc w:val="right"/>
      </w:pPr>
      <w:r>
        <w:t>84200 CARPENTRAS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Argence Giraud Sauveur,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volonté manifeste de modernisation numérique. Le développement d'un portail client dédié et la mise en place d'interfaces dématérialisées témoignent d'une approche pragmatique de la relation client et d'une gestion rigoureuse des données sensibles. Cette volonté d'offrir une expérience utilisateur fluide, alliée à une communication sobre et efficace, reflète une structure qui place la qualité du service technique et la protection des actifs numériques au cœur de ses priorités.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Argence Giraud Sauveur,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