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Bourene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Bourene,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SELAS BOURENE RICHARD se distingue par une approche conciliant héritage historique et modernité technique. La détention d'un patrimoine d'archives de plus de 60 ans témoigne d'une maîtrise profonde du foncier local, tandis que l'utilisation d'outils de pointe, tels que le scanner dynamique Geoslam ou les stations robotisées Trimble, souligne une volonté d'excellence technologique. Votre cabinet place par ailleurs la relation humaine et la compréhension des besoins spécifiques au cœur de sa démarche, garantissant un suivi personnalisé pour chaque projet, quel qu'il soit complexe ou délicat.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Bourene,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