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Véronique Chantal Chatron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GSM SAVOYET-CHATRON se distingue par une présence historique forte, assurant une continuité de savoir-faire depuis 1967. Son implantation stratégique au carrefour de quatre départements et son maillage territorial témoignent d'une maîtrise approfondie de la diversité des enjeux locaux. L'approche globale proposée par vos équipes pluridisciplinaires, alliant expertise technique — notamment en scanner laser et topographie — et conception de cadres de vie durables, illustre une volonté de réponse complète aux problématiques foncières et immobilières des particuliers comme des collectivités, tout en plaçant l'humanisme au cœur de la relation client.</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rigueur méthodologique au service de vos opérations, tout en m'appuyant sur mes compétences en synthèse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