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Urbain Gilbert Fontaine</w:t>
      </w:r>
    </w:p>
    <w:p>
      <w:pPr>
        <w:spacing w:line="240" w:lineRule="auto" w:before="0" w:after="0"/>
        <w:jc w:val="right"/>
      </w:pPr>
      <w:r>
        <w:t>FONTAINE GEOMETRE-EXPERT SARL</w:t>
      </w:r>
    </w:p>
    <w:p>
      <w:pPr>
        <w:spacing w:line="240" w:lineRule="auto" w:before="0" w:after="0"/>
        <w:jc w:val="right"/>
      </w:pPr>
      <w:r>
        <w:t>13 avenue de la République</w:t>
      </w:r>
    </w:p>
    <w:p>
      <w:pPr>
        <w:spacing w:line="240" w:lineRule="auto" w:before="0" w:after="0"/>
        <w:jc w:val="right"/>
      </w:pPr>
      <w:r>
        <w:t>03800 GANNAT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à Muret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 sur les secteurs de Riom et Gannat depuis 2009, témoigne d'une implantation ancrée dans son territoire. Cette proximité avec le terrain et la gestion de dossiers variés suggèrent une maîtrise du cœur de métier et une attention particulière à la sécurisation foncière locale. Votre structure offre un cadre propice à l’exercice d'une expertise technique solide et à une pratique rigoureuse des procédures de géomètre-expert auprès d'une clientèle diversifiée.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