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Cédric Robin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Robin,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échelle humaine, privilégiant une proximité réelle avec la clientèle et une connaissance approfondie de chaque dossier. Cette approche est complétée par une exigence de rigueur où chaque document est supervisé pour respecter les règles de l'art. Votre structure parvient à concilier un patrimoine historique de 75 ans d'archives avec une modernité technique affirmée, notamment par l'usage de scanners laser 3D et de stations robotisées. Enfin, votre capacité à collaborer avec des bureaux d'études spécialisés témoigne d'une vision transversale des projets d'aménagement.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Robin,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