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SELAFA GEO-SIAPP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géographique étendue, couvrant des zones variées telles que Vallon Pont d'Arc, Pierrelatte, Guilherand Granges et Aubenas. Cette implantation multi-sites témoigne d'une capacité à intervenir sur des contextes territoriaux diversifiés, qu'il s'agisse de zones rurales ou d'aménagements spécifiques. Votre spécialisation dans la modélisation 3D démontre également une volonté d'intégrer des technologies de pointe pour enrichir la précision des relevés et la qualité des restitutions. Cette polyvalence, alliant ancrage local et technicité moderne, constitue un environnement de travail particulièrement stimulant pour un futur collaborateur.</w:t>
      </w:r>
    </w:p>
    <w:p>
      <w:pPr>
        <w:spacing w:line="276" w:lineRule="auto" w:before="0" w:after="160"/>
        <w:jc w:val="both"/>
      </w:pPr>
      <w:r>
        <w:t>En m'adressant au cabinet SELAFA GEO-SIAPP, je recherche une structure au sein de laquelle je pourrai m'engager durablement pour préparer mon diplôme. Mon parcours académique m'a doté d'une forte culture de la donnée spatiale, notamment à travers la modélisation et le traitement de données complexes. Ma capacité d'analyse, forgée par une expérience de recherche, me permet d'aborder avec méthode les problématiques techniques et réglementaires. Mon objectif est de mettre cette force de production au service de vos opérations d'aménagement, tout en m'appuyant sur ma rigueur intellectuelle pour assimiler rapidement le cadre juridique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